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857704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625DC">
        <w:rPr>
          <w:rFonts w:ascii="Times New Roman" w:hAnsi="Times New Roman" w:cs="Times New Roman"/>
          <w:b/>
          <w:bCs/>
          <w:sz w:val="28"/>
          <w:szCs w:val="28"/>
        </w:rPr>
        <w:t>19 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D1B9FE4" w14:textId="77777777" w:rsidR="005D425B" w:rsidRPr="00F22056" w:rsidRDefault="005D425B" w:rsidP="00F220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D425B">
        <w:rPr>
          <w:rFonts w:ascii="Source Sans Pro" w:eastAsia="Times New Roman" w:hAnsi="Source Sans Pro" w:cs="Times New Roman"/>
          <w:color w:val="555555"/>
          <w:sz w:val="27"/>
          <w:szCs w:val="27"/>
          <w:lang w:eastAsia="fr-FR"/>
        </w:rPr>
        <w:t> </w:t>
      </w:r>
      <w:r w:rsidRPr="00F22056">
        <w:rPr>
          <w:rFonts w:ascii="Times New Roman" w:eastAsia="Times New Roman" w:hAnsi="Times New Roman" w:cs="Times New Roman"/>
          <w:color w:val="555555"/>
          <w:sz w:val="24"/>
          <w:szCs w:val="24"/>
          <w:lang w:eastAsia="fr-FR"/>
        </w:rPr>
        <w:t xml:space="preserve">Les principaux marchés actions européens ont clôturé en hausse timide. Le CAC 40 s'est défavorablement distingué en accusant un repli de 0,05% à 6 669,85 points. L'Euro </w:t>
      </w:r>
      <w:proofErr w:type="spellStart"/>
      <w:r w:rsidRPr="00F22056">
        <w:rPr>
          <w:rFonts w:ascii="Times New Roman" w:eastAsia="Times New Roman" w:hAnsi="Times New Roman" w:cs="Times New Roman"/>
          <w:color w:val="555555"/>
          <w:sz w:val="24"/>
          <w:szCs w:val="24"/>
          <w:lang w:eastAsia="fr-FR"/>
        </w:rPr>
        <w:t>Stoxx</w:t>
      </w:r>
      <w:proofErr w:type="spellEnd"/>
      <w:r w:rsidRPr="00F22056">
        <w:rPr>
          <w:rFonts w:ascii="Times New Roman" w:eastAsia="Times New Roman" w:hAnsi="Times New Roman" w:cs="Times New Roman"/>
          <w:color w:val="555555"/>
          <w:sz w:val="24"/>
          <w:szCs w:val="24"/>
          <w:lang w:eastAsia="fr-FR"/>
        </w:rPr>
        <w:t xml:space="preserve"> 50 en revanche a gagné 0,4% à 4 168,05 points. A Wall Street, les investisseurs affichent un peu plus d'optimisme. Vers 17h30, le Dow Jones gagne 0,5% à 35 431 points tandis que le Nasdaq grimpe de 0,6% à 15 108 points.</w:t>
      </w:r>
    </w:p>
    <w:p w14:paraId="07D1DE60" w14:textId="77777777" w:rsidR="005D425B" w:rsidRPr="00F22056" w:rsidRDefault="005D425B" w:rsidP="00F220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Les marchés européens ont clairement manqué d'entrain aujourd'hui. Les opérateurs restent préoccupés par les craintes d'un durcissement des politiques monétaires dans un environnement moins favorable qu'à l'été.</w:t>
      </w:r>
    </w:p>
    <w:p w14:paraId="194CB59C" w14:textId="77777777" w:rsidR="005D425B" w:rsidRPr="00F22056" w:rsidRDefault="005D425B" w:rsidP="00F220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Depuis quelques mois, la croissance chinoise s'essouffle, la pandémie persiste en Russie comme aux Pays-Bas par exemple, l'inflation s'installe tout comme les goulots d'étranglement concernant les semi-conducteurs comme certains métaux de base.</w:t>
      </w:r>
    </w:p>
    <w:p w14:paraId="2EDFE602" w14:textId="07C4DBFB" w:rsidR="005D425B" w:rsidRPr="00F22056" w:rsidRDefault="005D425B" w:rsidP="00F220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A cet égard, les perspectives prudentes dévoilées par Danone ou Ericsson, qui n'ont pourtant rien à voir, ne prêtent guère à l'optimisme. Les deux en effet reconnaissent être frappés de plein fouet par la hausse des prix des matières premières et les difficultés à se faire livrer.</w:t>
      </w:r>
    </w:p>
    <w:p w14:paraId="2637D851" w14:textId="77777777" w:rsidR="008D7A2E" w:rsidRPr="00F22056" w:rsidRDefault="008D7A2E" w:rsidP="00F220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D0A1B7A" w14:textId="77777777" w:rsidR="00090118" w:rsidRPr="00F22056" w:rsidRDefault="00090118" w:rsidP="00F220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Le prix de la tonne de cuivre s'élèverait à 12 000 dollars la tonne d'ici la fin décembre, un cours qu'il afficherait encore à fin mars, selon les dernières prévisions d'UBS. La banque suisse a ainsi rehaussé ses estimations de 2 000 dollars. Le métal rouge cote actuellement un peu plus de 10 100 dollars la tonne. Elle souligne que les primes pour le cuivre physique ont augmenté dans toutes les régions, parallèlement à la baisse des stocks des Bourses dans le monde, en particulier en Chine.</w:t>
      </w:r>
    </w:p>
    <w:p w14:paraId="77CCD4E9" w14:textId="77777777" w:rsidR="00090118" w:rsidRPr="00F22056" w:rsidRDefault="00090118" w:rsidP="00F220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Au cours du seul mois d'octobre, les stocks ont chuté de près de 70 000 tonnes pour atteindre seulement 279 000 tonnes.</w:t>
      </w:r>
    </w:p>
    <w:p w14:paraId="0810D453" w14:textId="77777777" w:rsidR="00090118" w:rsidRPr="00F22056" w:rsidRDefault="00090118" w:rsidP="00F220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A titre de référence, les stocks ont été en moyenne de 502 000 tonnes au cours des cinq dernières années.</w:t>
      </w:r>
    </w:p>
    <w:p w14:paraId="08AE3A5D" w14:textId="344D2E4F" w:rsidR="00090118" w:rsidRPr="00F22056" w:rsidRDefault="00090118" w:rsidP="00F220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 Bien que les stocks mondiaux soient suffisants pour l'instant, la dynamique récente des stocks et le manque de disponibilité des métaux sont inquiétants ", prévient le spécialiste. Il ne faut pas grand-chose pour que les réductions de la production de produits raffinés en Chine ou en Europe poussent les stocks des Bourses à un niveau proche de zéro.</w:t>
      </w:r>
    </w:p>
    <w:p w14:paraId="0FF668F0" w14:textId="77777777" w:rsidR="00090118" w:rsidRPr="00F22056" w:rsidRDefault="00090118" w:rsidP="00F220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3ECF376" w14:textId="77777777" w:rsidR="0060261D" w:rsidRPr="00F22056" w:rsidRDefault="0060261D" w:rsidP="00F220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Comme l’attendaient les économistes, la Banque centrale de Hongrie (MNB) a décidé ce mardi de procéder à un nouveau tour de vis monétaire. L’institution a ainsi relevé son principal taux directeur de 15 points de base à 1,80%. La MNB cherche ainsi à contenir l’inflation, qui a atteint 5,5% en septembre sur un an (4% en données "</w:t>
      </w:r>
      <w:proofErr w:type="spellStart"/>
      <w:r w:rsidRPr="00F22056">
        <w:rPr>
          <w:rFonts w:ascii="Times New Roman" w:eastAsia="Times New Roman" w:hAnsi="Times New Roman" w:cs="Times New Roman"/>
          <w:color w:val="555555"/>
          <w:sz w:val="24"/>
          <w:szCs w:val="24"/>
          <w:lang w:eastAsia="fr-FR"/>
        </w:rPr>
        <w:t>core</w:t>
      </w:r>
      <w:proofErr w:type="spellEnd"/>
      <w:r w:rsidRPr="00F22056">
        <w:rPr>
          <w:rFonts w:ascii="Times New Roman" w:eastAsia="Times New Roman" w:hAnsi="Times New Roman" w:cs="Times New Roman"/>
          <w:color w:val="555555"/>
          <w:sz w:val="24"/>
          <w:szCs w:val="24"/>
          <w:lang w:eastAsia="fr-FR"/>
        </w:rPr>
        <w:t>"), dans un contexte de solide reprise économique. La MNB table sur une croissance du PIB comprise entre 6,5% et 7% cette année, et entre 5% et 6% l’an prochain.</w:t>
      </w:r>
    </w:p>
    <w:p w14:paraId="5444AF1D" w14:textId="77777777" w:rsidR="0060261D" w:rsidRPr="00F22056" w:rsidRDefault="0060261D" w:rsidP="00F2205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A l'avenir, l'institution a indiqué qu'elle poursuivra son cycle de resserrement monétaire jusqu'à ce que l'inflation soit maitrisée.</w:t>
      </w:r>
    </w:p>
    <w:p w14:paraId="69FEBCAE" w14:textId="7CBB21FE" w:rsidR="0060261D" w:rsidRPr="00F22056" w:rsidRDefault="0060261D" w:rsidP="00F220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Le forint hongrois n'a toutefois pas profité de ces annonces : l'euro progresse de 0,17% à 362,32 forints hongrois, en fin d'après-midi.</w:t>
      </w:r>
    </w:p>
    <w:p w14:paraId="3213F700" w14:textId="77777777" w:rsidR="0060261D" w:rsidRPr="00F22056" w:rsidRDefault="0060261D" w:rsidP="00F220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1444B0D" w14:textId="77777777" w:rsidR="007E2F2E" w:rsidRPr="00F22056" w:rsidRDefault="007E2F2E" w:rsidP="00F2205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 xml:space="preserve"> Après le succès du Champagne Fleur de </w:t>
      </w:r>
      <w:proofErr w:type="spellStart"/>
      <w:r w:rsidRPr="00F22056">
        <w:rPr>
          <w:rFonts w:ascii="Times New Roman" w:eastAsia="Times New Roman" w:hAnsi="Times New Roman" w:cs="Times New Roman"/>
          <w:color w:val="555555"/>
          <w:sz w:val="24"/>
          <w:szCs w:val="24"/>
          <w:lang w:eastAsia="fr-FR"/>
        </w:rPr>
        <w:t>Miraval</w:t>
      </w:r>
      <w:proofErr w:type="spellEnd"/>
      <w:r w:rsidRPr="00F22056">
        <w:rPr>
          <w:rFonts w:ascii="Times New Roman" w:eastAsia="Times New Roman" w:hAnsi="Times New Roman" w:cs="Times New Roman"/>
          <w:color w:val="555555"/>
          <w:sz w:val="24"/>
          <w:szCs w:val="24"/>
          <w:lang w:eastAsia="fr-FR"/>
        </w:rPr>
        <w:t xml:space="preserve"> ER1 lancé en octobre 2020, Brad Pitt, la Famille Perrin et la Famille Peters ont annoncé aujourd’hui la sortie mondiale de leur seconde édition ER2 (E pour Exclusivement et R pour Rosé). Ce vin a été élevé sur lies dans l’obscurité des caves de la Maison de Champagne pendant trois ans. L'assemblage est à 75% Chardonnay et 25% Pinot Noir. Ce lancement témoigne de l'intérêt croissant des acteurs du champagne pour le champagne rosé. Vendues plus chères et assimilées à une consommation de luxe, ces bouteilles sont aussi plus rentables que le Brut.</w:t>
      </w:r>
    </w:p>
    <w:p w14:paraId="740000EB" w14:textId="205B2AE8" w:rsidR="007E2F2E" w:rsidRPr="00F22056" w:rsidRDefault="007E2F2E" w:rsidP="00F220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22056">
        <w:rPr>
          <w:rFonts w:ascii="Times New Roman" w:eastAsia="Times New Roman" w:hAnsi="Times New Roman" w:cs="Times New Roman"/>
          <w:color w:val="555555"/>
          <w:sz w:val="24"/>
          <w:szCs w:val="24"/>
          <w:lang w:eastAsia="fr-FR"/>
        </w:rPr>
        <w:t xml:space="preserve">" L'année dernière, j'ai été impressionné par le succès de notre première édition, Fleur de </w:t>
      </w:r>
      <w:proofErr w:type="spellStart"/>
      <w:r w:rsidRPr="00F22056">
        <w:rPr>
          <w:rFonts w:ascii="Times New Roman" w:eastAsia="Times New Roman" w:hAnsi="Times New Roman" w:cs="Times New Roman"/>
          <w:color w:val="555555"/>
          <w:sz w:val="24"/>
          <w:szCs w:val="24"/>
          <w:lang w:eastAsia="fr-FR"/>
        </w:rPr>
        <w:t>Miraval</w:t>
      </w:r>
      <w:proofErr w:type="spellEnd"/>
      <w:r w:rsidRPr="00F22056">
        <w:rPr>
          <w:rFonts w:ascii="Times New Roman" w:eastAsia="Times New Roman" w:hAnsi="Times New Roman" w:cs="Times New Roman"/>
          <w:color w:val="555555"/>
          <w:sz w:val="24"/>
          <w:szCs w:val="24"/>
          <w:lang w:eastAsia="fr-FR"/>
        </w:rPr>
        <w:t xml:space="preserve"> ER1. Avec ER2, nous avons repoussé les limites encore plus loin, notamment sur le plan de la qualité. Seule maison de Champagne exclusivement dédiée au Champagne Rosé, chaque édition de Fleur de </w:t>
      </w:r>
      <w:proofErr w:type="spellStart"/>
      <w:r w:rsidRPr="00F22056">
        <w:rPr>
          <w:rFonts w:ascii="Times New Roman" w:eastAsia="Times New Roman" w:hAnsi="Times New Roman" w:cs="Times New Roman"/>
          <w:color w:val="555555"/>
          <w:sz w:val="24"/>
          <w:szCs w:val="24"/>
          <w:lang w:eastAsia="fr-FR"/>
        </w:rPr>
        <w:t>Miraval</w:t>
      </w:r>
      <w:proofErr w:type="spellEnd"/>
      <w:r w:rsidRPr="00F22056">
        <w:rPr>
          <w:rFonts w:ascii="Times New Roman" w:eastAsia="Times New Roman" w:hAnsi="Times New Roman" w:cs="Times New Roman"/>
          <w:color w:val="555555"/>
          <w:sz w:val="24"/>
          <w:szCs w:val="24"/>
          <w:lang w:eastAsia="fr-FR"/>
        </w:rPr>
        <w:t xml:space="preserve"> est une quête constante de beauté et une volonté de créer un espace de liberté pour tous les possibles", a commenté Brad Pitt.</w:t>
      </w:r>
    </w:p>
    <w:p w14:paraId="6489BB1B" w14:textId="77777777" w:rsidR="007E2F2E" w:rsidRPr="00F22056" w:rsidRDefault="007E2F2E" w:rsidP="00F2205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3D614DA8" w:rsidR="009343BE" w:rsidRPr="00F22056" w:rsidRDefault="00405F10" w:rsidP="00F2205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22056">
        <w:rPr>
          <w:rFonts w:ascii="Times New Roman" w:hAnsi="Times New Roman" w:cs="Times New Roman"/>
          <w:color w:val="555555"/>
          <w:sz w:val="24"/>
          <w:szCs w:val="24"/>
          <w:shd w:val="clear" w:color="auto" w:fill="FFFFFF"/>
        </w:rPr>
        <w:t>En août 2021, par rapport à juillet 2021, la production dans la construction, corrigée des variations saisonnières, a diminué de 1,3% dans la zone euro, selon les premières estimations d’Eurostat, l’office statistique de l'Union européenne. En juillet 2021, la production dans la construction avait augmenté de 0,1%. En août 2021, par rapport à août 2020, la production dans la construction a diminué de 1,6% dans la zone euro</w:t>
      </w:r>
      <w:r w:rsidR="009343BE" w:rsidRPr="00F22056">
        <w:rPr>
          <w:rFonts w:ascii="Times New Roman" w:hAnsi="Times New Roman" w:cs="Times New Roman"/>
          <w:color w:val="464646"/>
          <w:sz w:val="24"/>
          <w:szCs w:val="24"/>
          <w:shd w:val="clear" w:color="auto" w:fill="FFFFFF"/>
        </w:rPr>
        <w:t xml:space="preserve">. </w:t>
      </w:r>
    </w:p>
    <w:p w14:paraId="6E22B46D" w14:textId="77777777" w:rsidR="009343BE" w:rsidRPr="00F22056" w:rsidRDefault="009343BE" w:rsidP="00F22056">
      <w:pPr>
        <w:pStyle w:val="Paragraphedeliste"/>
        <w:jc w:val="both"/>
        <w:rPr>
          <w:rFonts w:ascii="Times New Roman" w:eastAsia="Times New Roman" w:hAnsi="Times New Roman" w:cs="Times New Roman"/>
          <w:color w:val="464646"/>
          <w:sz w:val="24"/>
          <w:szCs w:val="24"/>
          <w:lang w:eastAsia="fr-FR"/>
        </w:rPr>
      </w:pPr>
    </w:p>
    <w:p w14:paraId="133F9681" w14:textId="55EB4274" w:rsidR="00232AAD" w:rsidRPr="00F22056" w:rsidRDefault="00904485" w:rsidP="00F2205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22056">
        <w:rPr>
          <w:rFonts w:ascii="Times New Roman" w:eastAsia="Times New Roman" w:hAnsi="Times New Roman" w:cs="Times New Roman"/>
          <w:color w:val="464646"/>
          <w:sz w:val="24"/>
          <w:szCs w:val="24"/>
          <w:lang w:eastAsia="fr-FR"/>
        </w:rPr>
        <w:t xml:space="preserve">Le chiffre du jour : </w:t>
      </w:r>
      <w:r w:rsidR="00F22056" w:rsidRPr="00F22056">
        <w:rPr>
          <w:rFonts w:ascii="Times New Roman" w:eastAsia="Times New Roman" w:hAnsi="Times New Roman" w:cs="Times New Roman"/>
          <w:color w:val="464646"/>
          <w:sz w:val="24"/>
          <w:szCs w:val="24"/>
          <w:lang w:eastAsia="fr-FR"/>
        </w:rPr>
        <w:t>-8%</w:t>
      </w:r>
      <w:r w:rsidR="00F22056" w:rsidRPr="00F22056">
        <w:rPr>
          <w:rFonts w:ascii="Times New Roman" w:eastAsia="Times New Roman" w:hAnsi="Times New Roman" w:cs="Times New Roman"/>
          <w:color w:val="464646"/>
          <w:sz w:val="24"/>
          <w:szCs w:val="24"/>
          <w:lang w:eastAsia="fr-FR"/>
        </w:rPr>
        <w:t xml:space="preserve"> = l</w:t>
      </w:r>
      <w:r w:rsidR="00F22056" w:rsidRPr="00F22056">
        <w:rPr>
          <w:rFonts w:ascii="Times New Roman" w:eastAsia="Times New Roman" w:hAnsi="Times New Roman" w:cs="Times New Roman"/>
          <w:color w:val="464646"/>
          <w:sz w:val="24"/>
          <w:szCs w:val="24"/>
          <w:lang w:eastAsia="fr-FR"/>
        </w:rPr>
        <w:t>es prix à terme du charbon en Chine ont chuté de 8% mardi, après les déclarations de la principale autorité de planification du pays évoquant une possible intervention directe.</w:t>
      </w:r>
      <w:r w:rsidR="00CE2A19" w:rsidRPr="00F22056">
        <w:rPr>
          <w:rFonts w:ascii="Times New Roman" w:eastAsia="Times New Roman" w:hAnsi="Times New Roman" w:cs="Times New Roman"/>
          <w:color w:val="464646"/>
          <w:sz w:val="24"/>
          <w:szCs w:val="24"/>
          <w:lang w:eastAsia="fr-FR"/>
        </w:rPr>
        <w:t xml:space="preserve"> </w:t>
      </w:r>
    </w:p>
    <w:p w14:paraId="4C3409A9" w14:textId="77777777" w:rsidR="00CE2A19" w:rsidRPr="00F22056" w:rsidRDefault="00CE2A19" w:rsidP="00F22056">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F22056" w:rsidRDefault="00CE2A19" w:rsidP="00F2205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D5E5B95" w14:textId="37EC4D27" w:rsidR="008D7A2E" w:rsidRPr="00F16303" w:rsidRDefault="008D7A2E" w:rsidP="00F1630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6303">
        <w:rPr>
          <w:rFonts w:ascii="Times New Roman" w:eastAsia="Times New Roman" w:hAnsi="Times New Roman" w:cs="Times New Roman"/>
          <w:color w:val="555555"/>
          <w:sz w:val="24"/>
          <w:szCs w:val="24"/>
          <w:lang w:eastAsia="fr-FR"/>
        </w:rPr>
        <w:t>A la Bourse de Paris, Danone a, en conséquence, accusé le plus net repli du CAC 40 (-3% à 55,61 euros). Les valeurs défensives comme Veolia (+2,55%) et Engie (+1,9%) se sont distinguées.</w:t>
      </w:r>
    </w:p>
    <w:p w14:paraId="7F58ABD4" w14:textId="77777777" w:rsidR="008D7A2E" w:rsidRPr="00F16303" w:rsidRDefault="008D7A2E" w:rsidP="00F1630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A28C00B" w14:textId="77777777" w:rsidR="0093362A" w:rsidRPr="00F16303" w:rsidRDefault="0093362A" w:rsidP="00F1630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F16303">
        <w:rPr>
          <w:rFonts w:ascii="Times New Roman" w:eastAsia="Times New Roman" w:hAnsi="Times New Roman" w:cs="Times New Roman"/>
          <w:color w:val="555555"/>
          <w:sz w:val="24"/>
          <w:szCs w:val="24"/>
          <w:lang w:eastAsia="fr-FR"/>
        </w:rPr>
        <w:t>Virbac</w:t>
      </w:r>
      <w:proofErr w:type="spellEnd"/>
      <w:r w:rsidRPr="00F16303">
        <w:rPr>
          <w:rFonts w:ascii="Times New Roman" w:eastAsia="Times New Roman" w:hAnsi="Times New Roman" w:cs="Times New Roman"/>
          <w:color w:val="555555"/>
          <w:sz w:val="24"/>
          <w:szCs w:val="24"/>
          <w:lang w:eastAsia="fr-FR"/>
        </w:rPr>
        <w:t xml:space="preserve"> gagne 1,4% à 391 euros après la publication d'un chiffre d'affaires neuf mois très solide. Le titre a même atteint plus tôt 396,5 euros, tout proche de son record de 397,5 euros. Surtout, pour la troisième fois de l'année, le laboratoire vétérinaire a relevé ses prévisions de ventes annuelles grâce à de robustes performances en Europe et aux Etats-Unis. La forte croissance du groupe français s'est poursuivie lors du troisième trimestre 2021. Le spécialiste de la santé animale a réalisé un chiffre d'affaires de 288,2 millions d'euros, en hausse de 22,4%.</w:t>
      </w:r>
    </w:p>
    <w:p w14:paraId="385C64C7" w14:textId="2FA9DEDD" w:rsidR="0093362A" w:rsidRPr="00F16303" w:rsidRDefault="0093362A" w:rsidP="00F1630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6303">
        <w:rPr>
          <w:rFonts w:ascii="Times New Roman" w:eastAsia="Times New Roman" w:hAnsi="Times New Roman" w:cs="Times New Roman"/>
          <w:color w:val="555555"/>
          <w:sz w:val="24"/>
          <w:szCs w:val="24"/>
          <w:lang w:eastAsia="fr-FR"/>
        </w:rPr>
        <w:t>À parités constantes, la croissance ressort à 21% " principalement tirée par la remarquable performance de l'Europe et des États-Unis et la bonne tenue des autres zones, en particulier du Chili, qui connaît un rebond et une croissance sur le trimestre ", explique le groupe familial.</w:t>
      </w:r>
    </w:p>
    <w:p w14:paraId="22D786D3" w14:textId="77777777" w:rsidR="0093362A" w:rsidRPr="00F16303" w:rsidRDefault="0093362A" w:rsidP="00F1630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E6811FD" w14:textId="77777777" w:rsidR="00961995" w:rsidRPr="00F16303" w:rsidRDefault="00961995" w:rsidP="00F1630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F16303">
        <w:rPr>
          <w:rFonts w:ascii="Times New Roman" w:eastAsia="Times New Roman" w:hAnsi="Times New Roman" w:cs="Times New Roman"/>
          <w:color w:val="555555"/>
          <w:sz w:val="24"/>
          <w:szCs w:val="24"/>
          <w:lang w:eastAsia="fr-FR"/>
        </w:rPr>
        <w:t>Mercialys</w:t>
      </w:r>
      <w:proofErr w:type="spellEnd"/>
      <w:r w:rsidRPr="00F16303">
        <w:rPr>
          <w:rFonts w:ascii="Times New Roman" w:eastAsia="Times New Roman" w:hAnsi="Times New Roman" w:cs="Times New Roman"/>
          <w:color w:val="555555"/>
          <w:sz w:val="24"/>
          <w:szCs w:val="24"/>
          <w:lang w:eastAsia="fr-FR"/>
        </w:rPr>
        <w:t xml:space="preserve"> s’adjuge la première place du SBF 120, avec un bond de 5,41% à 9,45 euros, dans le sillage de son point d’activité au titre des neuf premiers mois de son exercice 2021. Une publication encourageante, dans laquelle transparaît la normalisation progressive de l’activité de l’exploitant de centres commerciaux. Entre janvier et septembre 2021, la foncière a ainsi dégagé des revenus locatifs de 128,6 millions </w:t>
      </w:r>
      <w:r w:rsidRPr="00F16303">
        <w:rPr>
          <w:rFonts w:ascii="Times New Roman" w:eastAsia="Times New Roman" w:hAnsi="Times New Roman" w:cs="Times New Roman"/>
          <w:color w:val="555555"/>
          <w:sz w:val="24"/>
          <w:szCs w:val="24"/>
          <w:lang w:eastAsia="fr-FR"/>
        </w:rPr>
        <w:lastRenderedPageBreak/>
        <w:t>d’euros, en baisse de 7,1% à données courantes sur un an et de -2,9% à périmètre constant.</w:t>
      </w:r>
    </w:p>
    <w:p w14:paraId="6986D10D" w14:textId="77777777" w:rsidR="00961995" w:rsidRPr="00F16303" w:rsidRDefault="00961995" w:rsidP="00F1630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6303">
        <w:rPr>
          <w:rFonts w:ascii="Times New Roman" w:eastAsia="Times New Roman" w:hAnsi="Times New Roman" w:cs="Times New Roman"/>
          <w:color w:val="555555"/>
          <w:sz w:val="24"/>
          <w:szCs w:val="24"/>
          <w:lang w:eastAsia="fr-FR"/>
        </w:rPr>
        <w:t xml:space="preserve">" Après 18 mois d'activité massivement perturbée, les centres commerciaux commencent à entrevoir une normalisation de leur environnement sur fond d'amélioration de la situation sanitaire et économique ", a commenté Vincent </w:t>
      </w:r>
      <w:proofErr w:type="spellStart"/>
      <w:r w:rsidRPr="00F16303">
        <w:rPr>
          <w:rFonts w:ascii="Times New Roman" w:eastAsia="Times New Roman" w:hAnsi="Times New Roman" w:cs="Times New Roman"/>
          <w:color w:val="555555"/>
          <w:sz w:val="24"/>
          <w:szCs w:val="24"/>
          <w:lang w:eastAsia="fr-FR"/>
        </w:rPr>
        <w:t>Ravat</w:t>
      </w:r>
      <w:proofErr w:type="spellEnd"/>
      <w:r w:rsidRPr="00F16303">
        <w:rPr>
          <w:rFonts w:ascii="Times New Roman" w:eastAsia="Times New Roman" w:hAnsi="Times New Roman" w:cs="Times New Roman"/>
          <w:color w:val="555555"/>
          <w:sz w:val="24"/>
          <w:szCs w:val="24"/>
          <w:lang w:eastAsia="fr-FR"/>
        </w:rPr>
        <w:t xml:space="preserve">, le directeur général de </w:t>
      </w:r>
      <w:proofErr w:type="spellStart"/>
      <w:r w:rsidRPr="00F16303">
        <w:rPr>
          <w:rFonts w:ascii="Times New Roman" w:eastAsia="Times New Roman" w:hAnsi="Times New Roman" w:cs="Times New Roman"/>
          <w:color w:val="555555"/>
          <w:sz w:val="24"/>
          <w:szCs w:val="24"/>
          <w:lang w:eastAsia="fr-FR"/>
        </w:rPr>
        <w:t>Mercialys</w:t>
      </w:r>
      <w:proofErr w:type="spellEnd"/>
      <w:r w:rsidRPr="00F16303">
        <w:rPr>
          <w:rFonts w:ascii="Times New Roman" w:eastAsia="Times New Roman" w:hAnsi="Times New Roman" w:cs="Times New Roman"/>
          <w:color w:val="555555"/>
          <w:sz w:val="24"/>
          <w:szCs w:val="24"/>
          <w:lang w:eastAsia="fr-FR"/>
        </w:rPr>
        <w:t>.</w:t>
      </w:r>
    </w:p>
    <w:p w14:paraId="2CC857C3" w14:textId="2A626050" w:rsidR="00C45089" w:rsidRPr="00F16303" w:rsidRDefault="00F81011" w:rsidP="00F1630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16303">
        <w:rPr>
          <w:rFonts w:ascii="Times New Roman" w:hAnsi="Times New Roman" w:cs="Times New Roman"/>
          <w:color w:val="555555"/>
          <w:sz w:val="24"/>
          <w:szCs w:val="24"/>
          <w:shd w:val="clear" w:color="auto" w:fill="FFFFFF"/>
        </w:rPr>
        <w:t xml:space="preserve">" Le déploiement des aides sur lesquelles l'Etat français s'est engagé pour permettre aux commerçants d'honorer le paiement de leurs loyers au titre des périodes de fermetures administratives de 2021 reste indispensable pour normaliser pleinement la relation entre bailleurs et enseignes ", a expliqué Vincent </w:t>
      </w:r>
      <w:proofErr w:type="spellStart"/>
      <w:r w:rsidRPr="00F16303">
        <w:rPr>
          <w:rFonts w:ascii="Times New Roman" w:hAnsi="Times New Roman" w:cs="Times New Roman"/>
          <w:color w:val="555555"/>
          <w:sz w:val="24"/>
          <w:szCs w:val="24"/>
          <w:shd w:val="clear" w:color="auto" w:fill="FFFFFF"/>
        </w:rPr>
        <w:t>Ravat</w:t>
      </w:r>
      <w:proofErr w:type="spellEnd"/>
      <w:r w:rsidRPr="00F16303">
        <w:rPr>
          <w:rFonts w:ascii="Times New Roman" w:hAnsi="Times New Roman" w:cs="Times New Roman"/>
          <w:color w:val="555555"/>
          <w:sz w:val="24"/>
          <w:szCs w:val="24"/>
          <w:shd w:val="clear" w:color="auto" w:fill="FFFFFF"/>
        </w:rPr>
        <w:t>.</w:t>
      </w:r>
      <w:r w:rsidR="00CE2A19" w:rsidRPr="00F16303">
        <w:rPr>
          <w:rFonts w:ascii="Times New Roman" w:eastAsia="Times New Roman" w:hAnsi="Times New Roman" w:cs="Times New Roman"/>
          <w:color w:val="464646"/>
          <w:sz w:val="24"/>
          <w:szCs w:val="24"/>
          <w:lang w:eastAsia="fr-FR"/>
        </w:rPr>
        <w:t xml:space="preserve"> </w:t>
      </w:r>
    </w:p>
    <w:p w14:paraId="6BA8F366" w14:textId="77777777" w:rsidR="00C92368" w:rsidRPr="00F16303" w:rsidRDefault="00C92368" w:rsidP="00F1630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AAE93C3" w14:textId="77777777" w:rsidR="000A5982" w:rsidRPr="00F16303" w:rsidRDefault="006B4772" w:rsidP="00F16303">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16303">
        <w:rPr>
          <w:rFonts w:ascii="Times New Roman" w:hAnsi="Times New Roman" w:cs="Times New Roman"/>
          <w:color w:val="555555"/>
          <w:sz w:val="24"/>
          <w:szCs w:val="24"/>
          <w:shd w:val="clear" w:color="auto" w:fill="FFFFFF"/>
        </w:rPr>
        <w:t>Bastide cède 6,5% à 40,95 euros malgré l'amélioration de ses résultats annuels et des prévisions encourageantes. Le titre, très recherché en 2020 en raison de son activité liée à la crise sanitaire (vente et la location matériel médical pour favoriser le maintien à domicile des personnes fragiles) ne fait plus recette cette année. Le groupe familial assure pourtant que le repli attendu des ventes causé par la fin de la pandémie sera plus compensé par d'autres activités. Pour preuve, il table sur une hausse des ventes et de sa rentabilité cette année.</w:t>
      </w:r>
    </w:p>
    <w:p w14:paraId="1CDB909C" w14:textId="65D8008D" w:rsidR="00C45089" w:rsidRPr="00F16303" w:rsidRDefault="000A5982" w:rsidP="00F1630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16303">
        <w:rPr>
          <w:rFonts w:ascii="Times New Roman" w:hAnsi="Times New Roman" w:cs="Times New Roman"/>
          <w:color w:val="555555"/>
          <w:sz w:val="24"/>
          <w:szCs w:val="24"/>
          <w:shd w:val="clear" w:color="auto" w:fill="FFFFFF"/>
        </w:rPr>
        <w:t>Positionné sur des marchés durablement porteurs, Bastide vise à poursuivre sa croissance sur l'exercice 2021-2022, malgré une base de comparaison très exigeante dans l'activité " Maintien à Domicile " liée au surcroît d'activité pendant la crise sanitaire, en particulier au premier semestre.</w:t>
      </w:r>
      <w:r w:rsidR="00CE2A19" w:rsidRPr="00F16303">
        <w:rPr>
          <w:rFonts w:ascii="Times New Roman" w:eastAsia="Times New Roman" w:hAnsi="Times New Roman" w:cs="Times New Roman"/>
          <w:color w:val="464646"/>
          <w:sz w:val="24"/>
          <w:szCs w:val="24"/>
          <w:lang w:eastAsia="fr-FR"/>
        </w:rPr>
        <w:t xml:space="preserve"> </w:t>
      </w:r>
    </w:p>
    <w:p w14:paraId="05A2E2EB" w14:textId="77777777" w:rsidR="00C45089" w:rsidRPr="00F16303" w:rsidRDefault="00C45089" w:rsidP="00F1630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ADE8A4F" w14:textId="258067E8" w:rsidR="008B0EB7" w:rsidRPr="009F5D8A" w:rsidRDefault="008B0EB7" w:rsidP="00F16303">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16303">
        <w:rPr>
          <w:rFonts w:ascii="Times New Roman" w:hAnsi="Times New Roman" w:cs="Times New Roman"/>
          <w:color w:val="555555"/>
          <w:sz w:val="24"/>
          <w:szCs w:val="24"/>
          <w:shd w:val="clear" w:color="auto" w:fill="FFFFFF"/>
        </w:rPr>
        <w:t> Au sein d’un marché suédois bien orienté, Ericsson cède 0,43% à 104,74 couronnes suédoises ; la baisse de son activité en Chine et les tensions sur l’approvisionnement prenant le pas sur des résultats supérieurs aux attentes. Les concurrents chinois d’Ericsson ayant été interdits de vendre leurs solutions 5G en Suède, Pékin a mis en place des mesures de rétorsion. Ericsson s'est ainsi vu attribuer seulement 2% des parts de marché pour les équipements radio 700MHz pour le développement du réseau 5G en Chine contre 11% auparavant.</w:t>
      </w:r>
    </w:p>
    <w:p w14:paraId="4A1EF27E" w14:textId="77777777" w:rsidR="009F5D8A" w:rsidRPr="00F16303" w:rsidRDefault="009F5D8A" w:rsidP="009F5D8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F09D48" w14:textId="16AE203C" w:rsidR="00C92368" w:rsidRPr="00F16303" w:rsidRDefault="00F16303" w:rsidP="00F16303">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16303">
        <w:rPr>
          <w:rFonts w:ascii="Times New Roman" w:hAnsi="Times New Roman" w:cs="Times New Roman"/>
          <w:color w:val="555555"/>
          <w:sz w:val="24"/>
          <w:szCs w:val="24"/>
          <w:shd w:val="clear" w:color="auto" w:fill="FFFFFF"/>
        </w:rPr>
        <w:t xml:space="preserve">Disney a reporté de plusieurs mois la sortie de certains de ses blockbusters les plus attendus de 2022. La liste de films comprend Black Panther (prévu le 11 novembre 2022 au lieu de juillet), Thor (prévu le 8 juillet 2022 au lieu du 6 mai) et </w:t>
      </w:r>
      <w:proofErr w:type="spellStart"/>
      <w:r w:rsidRPr="00F16303">
        <w:rPr>
          <w:rFonts w:ascii="Times New Roman" w:hAnsi="Times New Roman" w:cs="Times New Roman"/>
          <w:color w:val="555555"/>
          <w:sz w:val="24"/>
          <w:szCs w:val="24"/>
          <w:shd w:val="clear" w:color="auto" w:fill="FFFFFF"/>
        </w:rPr>
        <w:t>Doctor</w:t>
      </w:r>
      <w:proofErr w:type="spellEnd"/>
      <w:r w:rsidRPr="00F16303">
        <w:rPr>
          <w:rFonts w:ascii="Times New Roman" w:hAnsi="Times New Roman" w:cs="Times New Roman"/>
          <w:color w:val="555555"/>
          <w:sz w:val="24"/>
          <w:szCs w:val="24"/>
          <w:shd w:val="clear" w:color="auto" w:fill="FFFFFF"/>
        </w:rPr>
        <w:t xml:space="preserve"> Strange (sortie le 6 mai 2022 au lieu du 25 mars). Le cinquième épisode de la saga Indiana Jones a été décalé d'un an, pour une sortie prévue le 30 juillet 2023, alors qu'Harrison Ford (79 ans) s'est blessé à l'épaule, retardant le tournage.</w:t>
      </w:r>
      <w:r w:rsidR="00CE2A19" w:rsidRPr="00F16303">
        <w:rPr>
          <w:rFonts w:ascii="Times New Roman" w:eastAsia="Times New Roman" w:hAnsi="Times New Roman" w:cs="Times New Roman"/>
          <w:color w:val="464646"/>
          <w:sz w:val="24"/>
          <w:szCs w:val="24"/>
          <w:lang w:eastAsia="fr-FR"/>
        </w:rPr>
        <w:t xml:space="preserve"> </w:t>
      </w:r>
    </w:p>
    <w:p w14:paraId="396470AF" w14:textId="77777777" w:rsidR="00C57C59" w:rsidRPr="00F16303" w:rsidRDefault="00C57C59" w:rsidP="00F1630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BF102AB" w14:textId="77777777" w:rsidR="009F5D8A" w:rsidRPr="008D0E77" w:rsidRDefault="009F5D8A" w:rsidP="008D0E77">
      <w:pPr>
        <w:pStyle w:val="sc-14kwckt-6"/>
        <w:numPr>
          <w:ilvl w:val="0"/>
          <w:numId w:val="2"/>
        </w:numPr>
        <w:shd w:val="clear" w:color="auto" w:fill="FFFFFF"/>
        <w:spacing w:before="0" w:beforeAutospacing="0" w:after="0" w:afterAutospacing="0"/>
        <w:jc w:val="both"/>
        <w:rPr>
          <w:color w:val="212121"/>
        </w:rPr>
      </w:pPr>
      <w:r w:rsidRPr="008D0E77">
        <w:rPr>
          <w:color w:val="212121"/>
        </w:rPr>
        <w:t>En mars 2021, Emmanuel Faber, PDG de Danone, </w:t>
      </w:r>
      <w:r w:rsidRPr="008D0E77">
        <w:rPr>
          <w:color w:val="212121"/>
        </w:rPr>
        <w:t>première entreprise à mission cotée en France</w:t>
      </w:r>
      <w:r w:rsidRPr="008D0E77">
        <w:rPr>
          <w:color w:val="212121"/>
        </w:rPr>
        <w:t>, est évincé et sanctionné pour son manque de performance économique. Au même moment, </w:t>
      </w:r>
      <w:r w:rsidRPr="008D0E77">
        <w:rPr>
          <w:color w:val="212121"/>
        </w:rPr>
        <w:t>le pétrolier américain ExxonMobil est attaqué par des fonds activistes</w:t>
      </w:r>
      <w:r w:rsidRPr="008D0E77">
        <w:rPr>
          <w:color w:val="212121"/>
        </w:rPr>
        <w:t xml:space="preserve"> lui reprochant son indifférence au climat. « Ces tensions sont symptomatiques de deux visions distinctes du rôle de l'entreprise et de la manière d'évaluer sa performance. D'une part, celle de Milton Friedman, formulée dans les années soixante-dix, sur la maximisation du profit par les actionnaires ; de l'autre, celle définie dès 2006 par Michael ​Porter, qui repose sur le postulat que la création de valeur sociétale augmente la création de valeur économique », résume une étude de BCG </w:t>
      </w:r>
      <w:proofErr w:type="spellStart"/>
      <w:r w:rsidRPr="008D0E77">
        <w:rPr>
          <w:color w:val="212121"/>
        </w:rPr>
        <w:t>BrightHouse</w:t>
      </w:r>
      <w:proofErr w:type="spellEnd"/>
      <w:r w:rsidRPr="008D0E77">
        <w:rPr>
          <w:color w:val="212121"/>
        </w:rPr>
        <w:t xml:space="preserve">, </w:t>
      </w:r>
      <w:r w:rsidRPr="008D0E77">
        <w:rPr>
          <w:color w:val="212121"/>
        </w:rPr>
        <w:lastRenderedPageBreak/>
        <w:t>une entité du Boston Consulting Group qui conseille depuis 25 ans les entreprises sur leur raison d'être.</w:t>
      </w:r>
    </w:p>
    <w:p w14:paraId="48D2A5A0" w14:textId="77777777" w:rsidR="009F5D8A" w:rsidRPr="008D0E77" w:rsidRDefault="009F5D8A" w:rsidP="008D0E77">
      <w:pPr>
        <w:pStyle w:val="sc-14kwckt-6"/>
        <w:shd w:val="clear" w:color="auto" w:fill="FFFFFF"/>
        <w:spacing w:before="0" w:beforeAutospacing="0" w:after="0" w:afterAutospacing="0"/>
        <w:ind w:left="720"/>
        <w:jc w:val="both"/>
        <w:rPr>
          <w:color w:val="212121"/>
        </w:rPr>
      </w:pPr>
      <w:r w:rsidRPr="008D0E77">
        <w:rPr>
          <w:color w:val="212121"/>
        </w:rPr>
        <w:t>En 2021, les entreprises du CAC 40 ont pris conscience de l'importance de prendre en considération à la fois le financier et l'extra-financier. Les trois quarts des sociétés de l'indice parisien ont présenté aux investisseurs des indicateurs des deux natures lors de la présentation de leurs résultats 2020. Mais déjà, d'autres groupes, pionniers, vont plus loin. Ils veulent modifier leur façon d'évaluer leur performance afin de privilégier une approche ​globale. Leur credo : les entreprises les plus performantes sont aussi les plus engagées.</w:t>
      </w:r>
    </w:p>
    <w:p w14:paraId="2026B7A5" w14:textId="77777777" w:rsidR="009F5D8A" w:rsidRPr="008D0E77" w:rsidRDefault="009F5D8A" w:rsidP="008D0E77">
      <w:pPr>
        <w:pStyle w:val="sc-14kwckt-6"/>
        <w:shd w:val="clear" w:color="auto" w:fill="FFFFFF"/>
        <w:spacing w:before="0" w:beforeAutospacing="0" w:after="0" w:afterAutospacing="0"/>
        <w:ind w:left="720"/>
        <w:jc w:val="both"/>
        <w:rPr>
          <w:color w:val="212121"/>
        </w:rPr>
      </w:pPr>
      <w:r w:rsidRPr="008D0E77">
        <w:rPr>
          <w:color w:val="212121"/>
        </w:rPr>
        <w:t xml:space="preserve">BCG </w:t>
      </w:r>
      <w:proofErr w:type="spellStart"/>
      <w:r w:rsidRPr="008D0E77">
        <w:rPr>
          <w:color w:val="212121"/>
        </w:rPr>
        <w:t>BrightHouse</w:t>
      </w:r>
      <w:proofErr w:type="spellEnd"/>
      <w:r w:rsidRPr="008D0E77">
        <w:rPr>
          <w:color w:val="212121"/>
        </w:rPr>
        <w:t xml:space="preserve"> a répertorié un certain nombre d'initiatives allant dans ce sens. Ainsi, Veolia a récemment défini sa performance ​« plurielle », en prenant en compte les performances économique et financière, commerciale, environnementale ou encore sociétale et leur impact sur l'ensemble des parties prenantes du groupe (la société, la planète, les clients, les actionnaires et les employés).</w:t>
      </w:r>
    </w:p>
    <w:p w14:paraId="40E323C6" w14:textId="77777777" w:rsidR="009F5D8A" w:rsidRPr="008D0E77" w:rsidRDefault="009F5D8A" w:rsidP="008D0E77">
      <w:pPr>
        <w:pStyle w:val="sc-14kwckt-6"/>
        <w:shd w:val="clear" w:color="auto" w:fill="FFFFFF"/>
        <w:spacing w:before="0" w:beforeAutospacing="0" w:after="0" w:afterAutospacing="0"/>
        <w:ind w:left="720"/>
        <w:jc w:val="both"/>
        <w:rPr>
          <w:color w:val="212121"/>
        </w:rPr>
      </w:pPr>
      <w:r w:rsidRPr="008D0E77">
        <w:rPr>
          <w:color w:val="212121"/>
        </w:rPr>
        <w:t>D'autres mettent en place des outils novateurs. Kering a ainsi inventé le « compte de résultat environnemental », qui consiste à cartographier l'ensemble des impacts environnementaux du groupe et à les quantifier en leur attribuant une valeur monétaire. Cet outil mesure, tout au long de la chaîne d'approvisionnement, les émissions de CO</w:t>
      </w:r>
      <w:r w:rsidRPr="008D0E77">
        <w:rPr>
          <w:color w:val="212121"/>
          <w:vertAlign w:val="subscript"/>
        </w:rPr>
        <w:t>2</w:t>
      </w:r>
      <w:r w:rsidRPr="008D0E77">
        <w:rPr>
          <w:color w:val="212121"/>
        </w:rPr>
        <w:t>, la consommation d'eau, la pollution de l'air et de l'eau, l'utilisation des sols et la production de déchets.</w:t>
      </w:r>
    </w:p>
    <w:p w14:paraId="59E36F74" w14:textId="77777777" w:rsidR="00610F79" w:rsidRPr="008D0E77" w:rsidRDefault="009F5D8A" w:rsidP="008D0E77">
      <w:pPr>
        <w:pStyle w:val="sc-14kwckt-6"/>
        <w:shd w:val="clear" w:color="auto" w:fill="FFFFFF"/>
        <w:spacing w:before="0" w:beforeAutospacing="0" w:after="0" w:afterAutospacing="0"/>
        <w:ind w:left="720"/>
        <w:jc w:val="both"/>
        <w:rPr>
          <w:color w:val="212121"/>
        </w:rPr>
      </w:pPr>
      <w:r w:rsidRPr="008D0E77">
        <w:rPr>
          <w:color w:val="212121"/>
        </w:rPr>
        <w:t>Decathlon, Veolia et Danone utilisent un « coût carbone » pour arbitrer leurs décisions</w:t>
      </w:r>
      <w:r w:rsidR="00D2460C" w:rsidRPr="008D0E77">
        <w:rPr>
          <w:color w:val="212121"/>
        </w:rPr>
        <w:t>. Danone publie un bénéfice net par action (BNPA) courant ajusté du coût du carbone</w:t>
      </w:r>
      <w:r w:rsidRPr="008D0E77">
        <w:rPr>
          <w:color w:val="212121"/>
        </w:rPr>
        <w:t> qui rend visible le coût de l'empreinte carbone.</w:t>
      </w:r>
    </w:p>
    <w:p w14:paraId="347E4928" w14:textId="77777777" w:rsidR="00610F79" w:rsidRPr="008D0E77" w:rsidRDefault="009F5D8A" w:rsidP="008D0E77">
      <w:pPr>
        <w:pStyle w:val="sc-14kwckt-6"/>
        <w:shd w:val="clear" w:color="auto" w:fill="FFFFFF"/>
        <w:spacing w:before="0" w:beforeAutospacing="0" w:after="0" w:afterAutospacing="0"/>
        <w:ind w:left="720"/>
        <w:jc w:val="both"/>
        <w:rPr>
          <w:color w:val="212121"/>
        </w:rPr>
      </w:pPr>
      <w:r w:rsidRPr="008D0E77">
        <w:rPr>
          <w:color w:val="212121"/>
        </w:rPr>
        <w:t xml:space="preserve">Autre exemple, la </w:t>
      </w:r>
      <w:proofErr w:type="spellStart"/>
      <w:r w:rsidRPr="008D0E77">
        <w:rPr>
          <w:color w:val="212121"/>
        </w:rPr>
        <w:t>Maif</w:t>
      </w:r>
      <w:proofErr w:type="spellEnd"/>
      <w:r w:rsidRPr="008D0E77">
        <w:rPr>
          <w:color w:val="212121"/>
        </w:rPr>
        <w:t xml:space="preserve"> confronte toutes ses décisions stratégiques aux intérêts de ses parties prenantes : ses sociétaires, comme ses salariés. L'assureur regarde aussi si elles contribuent au bien commun, et à la performance durable de l'entreprise.</w:t>
      </w:r>
    </w:p>
    <w:p w14:paraId="67E6A304" w14:textId="1B4FA5F9" w:rsidR="009F5D8A" w:rsidRPr="008D0E77" w:rsidRDefault="009F5D8A" w:rsidP="008D0E77">
      <w:pPr>
        <w:pStyle w:val="sc-14kwckt-6"/>
        <w:shd w:val="clear" w:color="auto" w:fill="FFFFFF"/>
        <w:spacing w:before="0" w:beforeAutospacing="0" w:after="0" w:afterAutospacing="0"/>
        <w:ind w:left="720"/>
        <w:jc w:val="both"/>
        <w:rPr>
          <w:color w:val="212121"/>
        </w:rPr>
      </w:pPr>
      <w:r w:rsidRPr="008D0E77">
        <w:rPr>
          <w:color w:val="212121"/>
        </w:rPr>
        <w:t xml:space="preserve">Pour BCG </w:t>
      </w:r>
      <w:proofErr w:type="spellStart"/>
      <w:r w:rsidRPr="008D0E77">
        <w:rPr>
          <w:color w:val="212121"/>
        </w:rPr>
        <w:t>BrightHouse</w:t>
      </w:r>
      <w:proofErr w:type="spellEnd"/>
      <w:r w:rsidRPr="008D0E77">
        <w:rPr>
          <w:color w:val="212121"/>
        </w:rPr>
        <w:t>, cette recherche de la « performance globale » ne pourra se généraliser à toutes les entreprises sans qu'aient été relevés les défis de « l'harmonisation des normes, de la fiabilité ​des données, ou de la définition d'indicateurs extra-financiers ». Et ce, pour pouvoir comparer les entreprises et contrer les soupçons de greenwashing. « </w:t>
      </w:r>
      <w:r w:rsidR="00610F79" w:rsidRPr="008D0E77">
        <w:rPr>
          <w:color w:val="212121"/>
        </w:rPr>
        <w:t>Sur tous ces sujets, dans la course</w:t>
      </w:r>
      <w:r w:rsidR="008D0E77" w:rsidRPr="008D0E77">
        <w:rPr>
          <w:color w:val="212121"/>
        </w:rPr>
        <w:t xml:space="preserve"> de vitesse engagée avec les Etats-Unis</w:t>
      </w:r>
      <w:r w:rsidRPr="008D0E77">
        <w:rPr>
          <w:color w:val="212121"/>
        </w:rPr>
        <w:t>, l'Europe joue une partie de sa souveraineté », conclut l'étude.</w:t>
      </w:r>
    </w:p>
    <w:p w14:paraId="36807A9F" w14:textId="77777777" w:rsidR="00D927B1" w:rsidRPr="008D0E77" w:rsidRDefault="00D927B1" w:rsidP="008D0E77">
      <w:pPr>
        <w:pStyle w:val="Paragraphedeliste"/>
        <w:jc w:val="both"/>
        <w:rPr>
          <w:rFonts w:ascii="Times New Roman" w:hAnsi="Times New Roman" w:cs="Times New Roman"/>
          <w:sz w:val="24"/>
          <w:szCs w:val="24"/>
        </w:rPr>
      </w:pPr>
    </w:p>
    <w:p w14:paraId="51849A6C" w14:textId="77777777" w:rsidR="00BC51B9" w:rsidRPr="008D0E77" w:rsidRDefault="00BC51B9" w:rsidP="008D0E77">
      <w:pPr>
        <w:pStyle w:val="Paragraphedeliste"/>
        <w:jc w:val="both"/>
        <w:rPr>
          <w:rFonts w:ascii="Times New Roman" w:hAnsi="Times New Roman" w:cs="Times New Roman"/>
          <w:sz w:val="24"/>
          <w:szCs w:val="24"/>
        </w:rPr>
      </w:pPr>
    </w:p>
    <w:p w14:paraId="76BE7B20" w14:textId="7987157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625DC">
        <w:rPr>
          <w:rFonts w:ascii="Times New Roman" w:hAnsi="Times New Roman" w:cs="Times New Roman"/>
          <w:b/>
          <w:bCs/>
          <w:sz w:val="28"/>
          <w:szCs w:val="28"/>
        </w:rPr>
        <w:t>20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5771287C" w14:textId="77777777" w:rsidR="00B131E5" w:rsidRPr="00B131E5" w:rsidRDefault="00B131E5" w:rsidP="00B131E5">
      <w:pPr>
        <w:pStyle w:val="NormalWeb"/>
        <w:shd w:val="clear" w:color="auto" w:fill="FFFFFF"/>
        <w:spacing w:before="0" w:beforeAutospacing="0" w:after="0" w:afterAutospacing="0"/>
        <w:ind w:firstLine="708"/>
        <w:rPr>
          <w:b/>
          <w:bCs/>
          <w:color w:val="141414"/>
        </w:rPr>
      </w:pPr>
      <w:r w:rsidRPr="00B131E5">
        <w:rPr>
          <w:b/>
          <w:bCs/>
          <w:color w:val="141414"/>
        </w:rPr>
        <w:t>11h00 en zone euro</w:t>
      </w:r>
    </w:p>
    <w:p w14:paraId="2B2AF564" w14:textId="2B7189E8" w:rsidR="00B131E5" w:rsidRDefault="00B131E5" w:rsidP="00B131E5">
      <w:pPr>
        <w:pStyle w:val="NormalWeb"/>
        <w:shd w:val="clear" w:color="auto" w:fill="FFFFFF"/>
        <w:spacing w:before="0" w:beforeAutospacing="0" w:after="0" w:afterAutospacing="0"/>
        <w:ind w:firstLine="708"/>
        <w:rPr>
          <w:color w:val="141414"/>
        </w:rPr>
      </w:pPr>
      <w:r w:rsidRPr="00B131E5">
        <w:rPr>
          <w:color w:val="141414"/>
        </w:rPr>
        <w:t>Inflation en septembre</w:t>
      </w:r>
    </w:p>
    <w:p w14:paraId="3DC44839" w14:textId="77777777" w:rsidR="00B131E5" w:rsidRPr="00B131E5" w:rsidRDefault="00B131E5" w:rsidP="00B131E5">
      <w:pPr>
        <w:pStyle w:val="NormalWeb"/>
        <w:shd w:val="clear" w:color="auto" w:fill="FFFFFF"/>
        <w:spacing w:before="0" w:beforeAutospacing="0" w:after="0" w:afterAutospacing="0"/>
        <w:ind w:firstLine="708"/>
        <w:rPr>
          <w:color w:val="141414"/>
        </w:rPr>
      </w:pPr>
    </w:p>
    <w:p w14:paraId="2A14B6BA" w14:textId="77777777" w:rsidR="00B131E5" w:rsidRPr="00B131E5" w:rsidRDefault="00B131E5" w:rsidP="00B131E5">
      <w:pPr>
        <w:pStyle w:val="NormalWeb"/>
        <w:shd w:val="clear" w:color="auto" w:fill="FFFFFF"/>
        <w:spacing w:before="0" w:beforeAutospacing="0" w:after="0" w:afterAutospacing="0"/>
        <w:ind w:firstLine="708"/>
        <w:rPr>
          <w:b/>
          <w:bCs/>
          <w:color w:val="141414"/>
        </w:rPr>
      </w:pPr>
      <w:r w:rsidRPr="00B131E5">
        <w:rPr>
          <w:b/>
          <w:bCs/>
          <w:color w:val="141414"/>
        </w:rPr>
        <w:t>16h30 aux Etats-Unis</w:t>
      </w:r>
    </w:p>
    <w:p w14:paraId="77B2B64A" w14:textId="2E137C5D" w:rsidR="00B131E5" w:rsidRDefault="00B131E5" w:rsidP="00B131E5">
      <w:pPr>
        <w:pStyle w:val="NormalWeb"/>
        <w:shd w:val="clear" w:color="auto" w:fill="FFFFFF"/>
        <w:spacing w:before="0" w:beforeAutospacing="0" w:after="0" w:afterAutospacing="0"/>
        <w:ind w:firstLine="708"/>
        <w:rPr>
          <w:color w:val="141414"/>
        </w:rPr>
      </w:pPr>
      <w:r w:rsidRPr="00B131E5">
        <w:rPr>
          <w:color w:val="141414"/>
        </w:rPr>
        <w:t>Evolution hebdomadaire des stocks de pétrole</w:t>
      </w:r>
    </w:p>
    <w:p w14:paraId="3C96C477" w14:textId="77777777" w:rsidR="00B131E5" w:rsidRPr="00B131E5" w:rsidRDefault="00B131E5" w:rsidP="00B131E5">
      <w:pPr>
        <w:pStyle w:val="NormalWeb"/>
        <w:shd w:val="clear" w:color="auto" w:fill="FFFFFF"/>
        <w:spacing w:before="0" w:beforeAutospacing="0" w:after="0" w:afterAutospacing="0"/>
        <w:ind w:firstLine="708"/>
        <w:rPr>
          <w:color w:val="141414"/>
        </w:rPr>
      </w:pPr>
    </w:p>
    <w:p w14:paraId="1E0821FB" w14:textId="77777777" w:rsidR="00B131E5" w:rsidRPr="00B131E5" w:rsidRDefault="00B131E5" w:rsidP="00B131E5">
      <w:pPr>
        <w:pStyle w:val="NormalWeb"/>
        <w:shd w:val="clear" w:color="auto" w:fill="FFFFFF"/>
        <w:spacing w:before="0" w:beforeAutospacing="0" w:after="0" w:afterAutospacing="0"/>
        <w:ind w:firstLine="708"/>
        <w:rPr>
          <w:b/>
          <w:bCs/>
          <w:color w:val="141414"/>
        </w:rPr>
      </w:pPr>
      <w:r w:rsidRPr="00B131E5">
        <w:rPr>
          <w:b/>
          <w:bCs/>
          <w:color w:val="141414"/>
        </w:rPr>
        <w:t>20h00 aux Etats-Unis</w:t>
      </w:r>
    </w:p>
    <w:p w14:paraId="390C5FA5" w14:textId="77777777" w:rsidR="00B131E5" w:rsidRPr="00B131E5" w:rsidRDefault="00B131E5" w:rsidP="00B131E5">
      <w:pPr>
        <w:pStyle w:val="NormalWeb"/>
        <w:shd w:val="clear" w:color="auto" w:fill="FFFFFF"/>
        <w:spacing w:before="0" w:beforeAutospacing="0" w:after="0" w:afterAutospacing="0"/>
        <w:ind w:firstLine="708"/>
        <w:rPr>
          <w:color w:val="141414"/>
        </w:rPr>
      </w:pPr>
      <w:r w:rsidRPr="00B131E5">
        <w:rPr>
          <w:color w:val="141414"/>
        </w:rPr>
        <w:t>Livre Beige de la Fed sur l'état de santé de l'économie</w:t>
      </w:r>
    </w:p>
    <w:p w14:paraId="245C74CC" w14:textId="77777777" w:rsidR="002539F4" w:rsidRPr="00B131E5" w:rsidRDefault="002539F4" w:rsidP="00B131E5">
      <w:pPr>
        <w:rPr>
          <w:rFonts w:ascii="Times New Roman" w:hAnsi="Times New Roman" w:cs="Times New Roman"/>
          <w:sz w:val="28"/>
          <w:szCs w:val="28"/>
        </w:rPr>
      </w:pPr>
    </w:p>
    <w:sectPr w:rsidR="002539F4" w:rsidRPr="00B13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0118"/>
    <w:rsid w:val="00095FB6"/>
    <w:rsid w:val="000A5982"/>
    <w:rsid w:val="001070E7"/>
    <w:rsid w:val="001119B0"/>
    <w:rsid w:val="001466FB"/>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05F10"/>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425B"/>
    <w:rsid w:val="005F1191"/>
    <w:rsid w:val="0060261D"/>
    <w:rsid w:val="00610F79"/>
    <w:rsid w:val="00643302"/>
    <w:rsid w:val="0065405E"/>
    <w:rsid w:val="00662C34"/>
    <w:rsid w:val="00666D40"/>
    <w:rsid w:val="006B4772"/>
    <w:rsid w:val="006E1AFE"/>
    <w:rsid w:val="007311E1"/>
    <w:rsid w:val="00750611"/>
    <w:rsid w:val="007625DC"/>
    <w:rsid w:val="00774252"/>
    <w:rsid w:val="007A1184"/>
    <w:rsid w:val="007B5872"/>
    <w:rsid w:val="007C0DFB"/>
    <w:rsid w:val="007E1A9B"/>
    <w:rsid w:val="007E2F2E"/>
    <w:rsid w:val="007E4776"/>
    <w:rsid w:val="00845B07"/>
    <w:rsid w:val="008545BC"/>
    <w:rsid w:val="008559E1"/>
    <w:rsid w:val="008B0EB7"/>
    <w:rsid w:val="008D0E77"/>
    <w:rsid w:val="008D7A2E"/>
    <w:rsid w:val="0090180A"/>
    <w:rsid w:val="00904485"/>
    <w:rsid w:val="00904808"/>
    <w:rsid w:val="00923F26"/>
    <w:rsid w:val="0093362A"/>
    <w:rsid w:val="009343BE"/>
    <w:rsid w:val="0093521B"/>
    <w:rsid w:val="00961995"/>
    <w:rsid w:val="00962D6B"/>
    <w:rsid w:val="00972B8B"/>
    <w:rsid w:val="00973F0B"/>
    <w:rsid w:val="00995449"/>
    <w:rsid w:val="00995A0B"/>
    <w:rsid w:val="009967C8"/>
    <w:rsid w:val="00997CAB"/>
    <w:rsid w:val="009F5D8A"/>
    <w:rsid w:val="00A14AAE"/>
    <w:rsid w:val="00A63730"/>
    <w:rsid w:val="00A752C8"/>
    <w:rsid w:val="00A95749"/>
    <w:rsid w:val="00AA35BF"/>
    <w:rsid w:val="00AB111E"/>
    <w:rsid w:val="00AC4A8C"/>
    <w:rsid w:val="00AE4C61"/>
    <w:rsid w:val="00B069C2"/>
    <w:rsid w:val="00B131E5"/>
    <w:rsid w:val="00B3726B"/>
    <w:rsid w:val="00B62141"/>
    <w:rsid w:val="00BC51B9"/>
    <w:rsid w:val="00C04554"/>
    <w:rsid w:val="00C12973"/>
    <w:rsid w:val="00C1699B"/>
    <w:rsid w:val="00C30549"/>
    <w:rsid w:val="00C45089"/>
    <w:rsid w:val="00C45F11"/>
    <w:rsid w:val="00C57C59"/>
    <w:rsid w:val="00C92368"/>
    <w:rsid w:val="00C935F2"/>
    <w:rsid w:val="00CA4271"/>
    <w:rsid w:val="00CE2A19"/>
    <w:rsid w:val="00CF7DE6"/>
    <w:rsid w:val="00D11D81"/>
    <w:rsid w:val="00D2460C"/>
    <w:rsid w:val="00D53EC9"/>
    <w:rsid w:val="00D73964"/>
    <w:rsid w:val="00D773DB"/>
    <w:rsid w:val="00D84A99"/>
    <w:rsid w:val="00D927B1"/>
    <w:rsid w:val="00E1589C"/>
    <w:rsid w:val="00E45027"/>
    <w:rsid w:val="00E57F64"/>
    <w:rsid w:val="00E94C51"/>
    <w:rsid w:val="00E976CD"/>
    <w:rsid w:val="00EA596F"/>
    <w:rsid w:val="00F05A79"/>
    <w:rsid w:val="00F16303"/>
    <w:rsid w:val="00F22056"/>
    <w:rsid w:val="00F374E7"/>
    <w:rsid w:val="00F66F96"/>
    <w:rsid w:val="00F81011"/>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F5D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F5D8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F5D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F5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521910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38258248">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3728973">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5754561">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77145235">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87843034">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6630311">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1877</Words>
  <Characters>10327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2021-10-19T17:25:00Z</dcterms:created>
  <dcterms:modified xsi:type="dcterms:W3CDTF">2021-10-19T18:54:00Z</dcterms:modified>
</cp:coreProperties>
</file>