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9D8E1CC"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CD76DD">
        <w:rPr>
          <w:rFonts w:ascii="Times New Roman" w:hAnsi="Times New Roman" w:cs="Times New Roman"/>
          <w:b/>
          <w:bCs/>
          <w:sz w:val="28"/>
          <w:szCs w:val="28"/>
        </w:rPr>
        <w:t>19 novembre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DDAFEA5" w14:textId="77777777" w:rsidR="0013366B" w:rsidRPr="00081BCA" w:rsidRDefault="0013366B" w:rsidP="00081BCA">
      <w:pPr>
        <w:pStyle w:val="NormalWeb"/>
        <w:numPr>
          <w:ilvl w:val="0"/>
          <w:numId w:val="1"/>
        </w:numPr>
        <w:shd w:val="clear" w:color="auto" w:fill="FFFFFF"/>
        <w:spacing w:before="0" w:beforeAutospacing="0"/>
        <w:jc w:val="both"/>
        <w:rPr>
          <w:color w:val="555555"/>
        </w:rPr>
      </w:pPr>
      <w:r w:rsidRPr="00081BCA">
        <w:rPr>
          <w:color w:val="555555"/>
        </w:rPr>
        <w:t>Bien orientés ce matin dans le sillage des records du S&amp;P 500 et du Nasdaq Composite, les marchés européens ont basculé dans le rouge en fin de matinée pour ne plus changer de couleur. Le CAC 40 a clôturé en repli de 0,42% à 7 112,29 points, limitant sa progression hebdomadaire à 0,29%. L’EuroStoxx50 a, lui, cédé 0,51% à 4 361,27 points. Si le Dow Jones s’apprêtait à finir la semaine en recul de plus de 1%, le Nasdaq Composite était bien orienté depuis lundi : +1,5%. Il s’est même offert vendredi un nouveau record.</w:t>
      </w:r>
    </w:p>
    <w:p w14:paraId="4567DD27" w14:textId="77777777" w:rsidR="0013366B" w:rsidRPr="00081BCA" w:rsidRDefault="0013366B" w:rsidP="00081BCA">
      <w:pPr>
        <w:pStyle w:val="NormalWeb"/>
        <w:numPr>
          <w:ilvl w:val="0"/>
          <w:numId w:val="1"/>
        </w:numPr>
        <w:shd w:val="clear" w:color="auto" w:fill="FFFFFF"/>
        <w:spacing w:before="0" w:beforeAutospacing="0"/>
        <w:jc w:val="both"/>
        <w:rPr>
          <w:color w:val="555555"/>
        </w:rPr>
      </w:pPr>
      <w:r w:rsidRPr="00081BCA">
        <w:rPr>
          <w:color w:val="555555"/>
        </w:rPr>
        <w:t>L'euphorie constatée sur les places boursières depuis ces dernières semaines a été emportée par la nouvelle forte vague de Covid déferlant sur l'Europe. L'Autriche a annoncé un confinement national de 20 jours maximum. Renforçant l'inquiétude des investisseurs, le ministère de la santé allemand n'a pas exclu qu'une telle décision soit prise dans son pays.</w:t>
      </w:r>
    </w:p>
    <w:p w14:paraId="3C9BF982" w14:textId="77777777" w:rsidR="0013366B" w:rsidRPr="00081BCA" w:rsidRDefault="0013366B" w:rsidP="00081BCA">
      <w:pPr>
        <w:pStyle w:val="NormalWeb"/>
        <w:numPr>
          <w:ilvl w:val="0"/>
          <w:numId w:val="1"/>
        </w:numPr>
        <w:shd w:val="clear" w:color="auto" w:fill="FFFFFF"/>
        <w:spacing w:before="0" w:beforeAutospacing="0"/>
        <w:jc w:val="both"/>
        <w:rPr>
          <w:color w:val="555555"/>
        </w:rPr>
      </w:pPr>
      <w:r w:rsidRPr="00081BCA">
        <w:rPr>
          <w:color w:val="555555"/>
        </w:rPr>
        <w:t>Sur le marché parisien, un scénario désormais bien rodé s'est mis en place à la suite de ces annonces : les valeurs les plus sensibles à l'évolution de la situation sanitaire ont pris les places aux deux extrémités des indices.</w:t>
      </w:r>
    </w:p>
    <w:p w14:paraId="46BFCFFC" w14:textId="77777777" w:rsidR="0013366B" w:rsidRPr="00081BCA" w:rsidRDefault="0013366B" w:rsidP="00081BCA">
      <w:pPr>
        <w:pStyle w:val="NormalWeb"/>
        <w:numPr>
          <w:ilvl w:val="0"/>
          <w:numId w:val="1"/>
        </w:numPr>
        <w:shd w:val="clear" w:color="auto" w:fill="FFFFFF"/>
        <w:spacing w:before="0" w:beforeAutospacing="0"/>
        <w:jc w:val="both"/>
        <w:rPr>
          <w:color w:val="555555"/>
        </w:rPr>
      </w:pPr>
      <w:r w:rsidRPr="00081BCA">
        <w:rPr>
          <w:color w:val="555555"/>
        </w:rPr>
        <w:t xml:space="preserve">Les sociétés liées à l'immobilier (Unibail-Rodamco-Westfield, </w:t>
      </w:r>
      <w:proofErr w:type="spellStart"/>
      <w:r w:rsidRPr="00081BCA">
        <w:rPr>
          <w:color w:val="555555"/>
        </w:rPr>
        <w:t>Klepierre</w:t>
      </w:r>
      <w:proofErr w:type="spellEnd"/>
      <w:r w:rsidRPr="00081BCA">
        <w:rPr>
          <w:color w:val="555555"/>
        </w:rPr>
        <w:t>...), à la restauration collective (Sodexo), et aux transport (ADP, Air France-KLM, JCDecaux...) ont nettement reculé.</w:t>
      </w:r>
    </w:p>
    <w:p w14:paraId="479AD5A1" w14:textId="77777777" w:rsidR="0013366B" w:rsidRPr="00081BCA" w:rsidRDefault="0013366B" w:rsidP="00081BCA">
      <w:pPr>
        <w:pStyle w:val="NormalWeb"/>
        <w:numPr>
          <w:ilvl w:val="0"/>
          <w:numId w:val="1"/>
        </w:numPr>
        <w:shd w:val="clear" w:color="auto" w:fill="FFFFFF"/>
        <w:spacing w:before="0" w:beforeAutospacing="0"/>
        <w:jc w:val="both"/>
        <w:rPr>
          <w:color w:val="555555"/>
        </w:rPr>
      </w:pPr>
      <w:r w:rsidRPr="00081BCA">
        <w:rPr>
          <w:color w:val="555555"/>
        </w:rPr>
        <w:t>L'accroissement de l'aversion au risque a aussi pesé sur les valeurs bancaires via la baisse des rendements des obligations d'Etat à 10 ans, considérées comme des valeurs refuges. Le Bund s'est replié ainsi de près de 7 points.</w:t>
      </w:r>
    </w:p>
    <w:p w14:paraId="1A026E96" w14:textId="77777777" w:rsidR="0013366B" w:rsidRPr="00081BCA" w:rsidRDefault="0013366B" w:rsidP="00081BCA">
      <w:pPr>
        <w:pStyle w:val="NormalWeb"/>
        <w:numPr>
          <w:ilvl w:val="0"/>
          <w:numId w:val="1"/>
        </w:numPr>
        <w:shd w:val="clear" w:color="auto" w:fill="FFFFFF"/>
        <w:spacing w:before="0" w:beforeAutospacing="0" w:after="0" w:afterAutospacing="0"/>
        <w:jc w:val="both"/>
        <w:rPr>
          <w:color w:val="555555"/>
        </w:rPr>
      </w:pPr>
      <w:r w:rsidRPr="00081BCA">
        <w:rPr>
          <w:color w:val="555555"/>
        </w:rPr>
        <w:t xml:space="preserve">En revanche, les valeurs liées à la santé, comme Sartorius </w:t>
      </w:r>
      <w:proofErr w:type="spellStart"/>
      <w:r w:rsidRPr="00081BCA">
        <w:rPr>
          <w:color w:val="555555"/>
        </w:rPr>
        <w:t>Stedim</w:t>
      </w:r>
      <w:proofErr w:type="spellEnd"/>
      <w:r w:rsidRPr="00081BCA">
        <w:rPr>
          <w:color w:val="555555"/>
        </w:rPr>
        <w:t xml:space="preserve"> Biotech, Eurofins et </w:t>
      </w:r>
      <w:proofErr w:type="spellStart"/>
      <w:r w:rsidRPr="00081BCA">
        <w:rPr>
          <w:color w:val="555555"/>
        </w:rPr>
        <w:t>bioMerieux</w:t>
      </w:r>
      <w:proofErr w:type="spellEnd"/>
      <w:r w:rsidRPr="00081BCA">
        <w:rPr>
          <w:color w:val="555555"/>
        </w:rPr>
        <w:t>, ont étés soutenues par l'annonce autrichienne. Les entreprises susceptibles de profiter de nouvelles restrictions de déplacement ont également été favorisées : Dassault Systèmes, Ubisoft...</w:t>
      </w:r>
    </w:p>
    <w:p w14:paraId="6E22B46D" w14:textId="77777777" w:rsidR="009343BE" w:rsidRPr="00081BCA" w:rsidRDefault="009343BE" w:rsidP="00081BCA">
      <w:pPr>
        <w:pStyle w:val="Paragraphedeliste"/>
        <w:jc w:val="both"/>
        <w:rPr>
          <w:rFonts w:ascii="Times New Roman" w:eastAsia="Times New Roman" w:hAnsi="Times New Roman" w:cs="Times New Roman"/>
          <w:color w:val="464646"/>
          <w:sz w:val="24"/>
          <w:szCs w:val="24"/>
          <w:lang w:eastAsia="fr-FR"/>
        </w:rPr>
      </w:pPr>
    </w:p>
    <w:p w14:paraId="133F9681" w14:textId="71BFBB70" w:rsidR="00232AAD" w:rsidRPr="00081BCA" w:rsidRDefault="007C4965" w:rsidP="00081BCA">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81BCA">
        <w:rPr>
          <w:rFonts w:ascii="Times New Roman" w:hAnsi="Times New Roman" w:cs="Times New Roman"/>
          <w:color w:val="555555"/>
          <w:sz w:val="24"/>
          <w:szCs w:val="24"/>
          <w:shd w:val="clear" w:color="auto" w:fill="FFFFFF"/>
        </w:rPr>
        <w:t xml:space="preserve">La livre turque a chuté cette semaine de 10% face à la devise américaine, inscrivant même en séance un plus bas historique à 11,29 livres pour un dollar. Malgré une inflation avoisinant les 20% en octobre sur un an, la Banque centrale turque (TCMB) a réduit de 100 points de base son principal taux directeur à 15%. C’est précisément l’opposé de ce que préconise la théorie économique classique. L’institution se plie aux injonctions de Recep </w:t>
      </w:r>
      <w:proofErr w:type="spellStart"/>
      <w:r w:rsidRPr="00081BCA">
        <w:rPr>
          <w:rFonts w:ascii="Times New Roman" w:hAnsi="Times New Roman" w:cs="Times New Roman"/>
          <w:color w:val="555555"/>
          <w:sz w:val="24"/>
          <w:szCs w:val="24"/>
          <w:shd w:val="clear" w:color="auto" w:fill="FFFFFF"/>
        </w:rPr>
        <w:t>Tayyip</w:t>
      </w:r>
      <w:proofErr w:type="spellEnd"/>
      <w:r w:rsidRPr="00081BCA">
        <w:rPr>
          <w:rFonts w:ascii="Times New Roman" w:hAnsi="Times New Roman" w:cs="Times New Roman"/>
          <w:color w:val="555555"/>
          <w:sz w:val="24"/>
          <w:szCs w:val="24"/>
          <w:shd w:val="clear" w:color="auto" w:fill="FFFFFF"/>
        </w:rPr>
        <w:t xml:space="preserve"> Erdogan, le président turc, qui a régulièrement exprimé son hostilité à un tour de vis monétaire.</w:t>
      </w:r>
      <w:r w:rsidR="00CE2A19" w:rsidRPr="00081BCA">
        <w:rPr>
          <w:rFonts w:ascii="Times New Roman" w:eastAsia="Times New Roman" w:hAnsi="Times New Roman" w:cs="Times New Roman"/>
          <w:color w:val="464646"/>
          <w:sz w:val="24"/>
          <w:szCs w:val="24"/>
          <w:lang w:eastAsia="fr-FR"/>
        </w:rPr>
        <w:t xml:space="preserve"> </w:t>
      </w:r>
    </w:p>
    <w:p w14:paraId="4C3409A9" w14:textId="77777777" w:rsidR="00CE2A19" w:rsidRPr="00081BCA" w:rsidRDefault="00CE2A19" w:rsidP="00081BCA">
      <w:pPr>
        <w:pStyle w:val="Paragraphedeliste"/>
        <w:jc w:val="both"/>
        <w:rPr>
          <w:rFonts w:ascii="Times New Roman" w:eastAsia="Times New Roman" w:hAnsi="Times New Roman" w:cs="Times New Roman"/>
          <w:color w:val="464646"/>
          <w:sz w:val="24"/>
          <w:szCs w:val="24"/>
          <w:lang w:eastAsia="fr-FR"/>
        </w:rPr>
      </w:pPr>
    </w:p>
    <w:p w14:paraId="4E02C93A" w14:textId="77777777" w:rsidR="00B4404A" w:rsidRPr="00081BCA" w:rsidRDefault="00B4404A" w:rsidP="00081BC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1BCA">
        <w:rPr>
          <w:rFonts w:ascii="Times New Roman" w:eastAsia="Times New Roman" w:hAnsi="Times New Roman" w:cs="Times New Roman"/>
          <w:color w:val="555555"/>
          <w:sz w:val="24"/>
          <w:szCs w:val="24"/>
          <w:lang w:eastAsia="fr-FR"/>
        </w:rPr>
        <w:t>Le cours des contrats à terme sur le blé ont progressé de 0,3% vendredi à la bourse de Chicago, à 8,22 dollars le boisseau. Un niveau qui reste historiquement élevé malgré le léger repli depuis les records enregistrés ces derniers jours. En plus des nombreuses tensions à l’œuvre sur le marché des céréales (demande importante et récoltes insuffisantes), le blé doit faire face à de nouvelles difficultés conjoncturelles: en effet, les violentes intempéries de la semaine en Colombie Britannique ont provoqué d'énormes problèmes logistiques dans l'Ouest du Canada.</w:t>
      </w:r>
    </w:p>
    <w:p w14:paraId="5BEEA32A" w14:textId="77777777" w:rsidR="00B4404A" w:rsidRPr="00081BCA" w:rsidRDefault="00B4404A" w:rsidP="00081BC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081BCA">
        <w:rPr>
          <w:rFonts w:ascii="Times New Roman" w:eastAsia="Times New Roman" w:hAnsi="Times New Roman" w:cs="Times New Roman"/>
          <w:color w:val="555555"/>
          <w:sz w:val="24"/>
          <w:szCs w:val="24"/>
          <w:lang w:eastAsia="fr-FR"/>
        </w:rPr>
        <w:lastRenderedPageBreak/>
        <w:t>Les pluies torrentielles et les glissements de terrain ont bloqué les accès ferroviaires au port de Vancouver, le plus important du pays. Dans le même temps, une vingtaine de navires attendent des livraisons, tandis que quelques centaines de milliers de tonnes de céréales sont bloquées en transit, rapporte Bloomberg citant des données Quorum, une société qui surveille le système de transport des céréales au Canada.</w:t>
      </w:r>
    </w:p>
    <w:p w14:paraId="71EC7E3C" w14:textId="77777777" w:rsidR="00B4404A" w:rsidRPr="00081BCA" w:rsidRDefault="00B4404A" w:rsidP="00081BC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E43311E" w14:textId="77777777" w:rsidR="00BC1C41" w:rsidRPr="00081BCA" w:rsidRDefault="00BC1C41" w:rsidP="00081BC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1BCA">
        <w:rPr>
          <w:rFonts w:ascii="Times New Roman" w:eastAsia="Times New Roman" w:hAnsi="Times New Roman" w:cs="Times New Roman"/>
          <w:color w:val="555555"/>
          <w:sz w:val="24"/>
          <w:szCs w:val="24"/>
          <w:lang w:eastAsia="fr-FR"/>
        </w:rPr>
        <w:t>Au troisième trimestre 2021, le nombre de chômeurs au sens du BIT a atteint 2,4 millions de personnes en France (hors Mayotte), en hausse de 52 000 personnes par rapport au trimestre précédent, a annoncé l'Insee. Le taux de chômage au sens du BIT est quasi stable (+0,1 point), à 8,1 % de la population active. Il oscille entre 8,0 % et 8,1 % depuis le quatrième trimestre 2020, au même niveau qu’au quatrième trimestre 2019, avant la crise sanitaire.</w:t>
      </w:r>
    </w:p>
    <w:p w14:paraId="12C004D9" w14:textId="77777777" w:rsidR="00BC1C41" w:rsidRPr="00081BCA" w:rsidRDefault="00BC1C41" w:rsidP="00081B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1BCA">
        <w:rPr>
          <w:rFonts w:ascii="Times New Roman" w:eastAsia="Times New Roman" w:hAnsi="Times New Roman" w:cs="Times New Roman"/>
          <w:color w:val="555555"/>
          <w:sz w:val="24"/>
          <w:szCs w:val="24"/>
          <w:lang w:eastAsia="fr-FR"/>
        </w:rPr>
        <w:t>" Cette quasi-stabilité du taux de chômage au troisième trimestre 2021 résulte tout à la fois du fort dynamisme de l'emploi et de celui de la population active, comme au trimestre précédent ", explique l'institut de statistique.</w:t>
      </w:r>
    </w:p>
    <w:p w14:paraId="6B86AE1B" w14:textId="77777777" w:rsidR="00BC1C41" w:rsidRPr="00081BCA" w:rsidRDefault="00BC1C41" w:rsidP="00081B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1BCA">
        <w:rPr>
          <w:rFonts w:ascii="Times New Roman" w:eastAsia="Times New Roman" w:hAnsi="Times New Roman" w:cs="Times New Roman"/>
          <w:color w:val="555555"/>
          <w:sz w:val="24"/>
          <w:szCs w:val="24"/>
          <w:lang w:eastAsia="fr-FR"/>
        </w:rPr>
        <w:t>Sur le trimestre, le taux de chômage augmente pour les 15-24 ans (+0,3 point à 20%) et se stabilise pour les 25-49 ans et les 50 ans et plus. Par rapport aux niveaux respectifs d'avant-crise (fin 2019), il est nettement au-dessous pour les jeunes (–1,2 point) et quasiment identique pour les personnes d'âge intermédiaire (–0,1 point) et les seniors (+0,1 point).</w:t>
      </w:r>
    </w:p>
    <w:p w14:paraId="28D22145" w14:textId="77777777" w:rsidR="00BC1C41" w:rsidRPr="00081BCA" w:rsidRDefault="00BC1C41" w:rsidP="00081BC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081BCA">
        <w:rPr>
          <w:rFonts w:ascii="Times New Roman" w:eastAsia="Times New Roman" w:hAnsi="Times New Roman" w:cs="Times New Roman"/>
          <w:color w:val="555555"/>
          <w:sz w:val="24"/>
          <w:szCs w:val="24"/>
          <w:lang w:eastAsia="fr-FR"/>
        </w:rPr>
        <w:t>En moyenne au troisième trimestre 2021, le taux d'emploi des 15-64 ans augmente de 0,5 point à 67,5 %, après déjà une nette hausse au deuxième trimestre (+0,4 point). Il se situe au plus haut depuis que l'Insee le mesure au sens du BIT (1975) et excède son niveau d'avant-crise de 0,7 point.</w:t>
      </w:r>
    </w:p>
    <w:p w14:paraId="666E782E" w14:textId="77777777" w:rsidR="00BC1C41" w:rsidRPr="00081BCA" w:rsidRDefault="00BC1C41" w:rsidP="00081BC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8D3C59D" w14:textId="77777777" w:rsidR="00833ED7" w:rsidRPr="00081BCA" w:rsidRDefault="00833ED7" w:rsidP="00081BCA">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81BCA">
        <w:rPr>
          <w:rFonts w:ascii="Times New Roman" w:hAnsi="Times New Roman" w:cs="Times New Roman"/>
          <w:color w:val="555555"/>
          <w:sz w:val="24"/>
          <w:szCs w:val="24"/>
          <w:shd w:val="clear" w:color="auto" w:fill="FFFFFF"/>
        </w:rPr>
        <w:t>En Allemagne, les prix à la production ont progressé de 3,8% en octobre 2021 par rapport au mois précédent et ont augmenté de 18,4% en rythme annuel. Le consensus attendait respectivement +1,9% et +16,2%.</w:t>
      </w:r>
    </w:p>
    <w:p w14:paraId="531D6068" w14:textId="77777777" w:rsidR="00CE2A19" w:rsidRPr="00081BCA" w:rsidRDefault="00CE2A19" w:rsidP="00081BCA">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CC857C3" w14:textId="5B488FB0" w:rsidR="00C45089" w:rsidRPr="00081BCA" w:rsidRDefault="00227D04" w:rsidP="00081BCA">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81BCA">
        <w:rPr>
          <w:rFonts w:ascii="Times New Roman" w:hAnsi="Times New Roman" w:cs="Times New Roman"/>
          <w:color w:val="555555"/>
          <w:sz w:val="24"/>
          <w:szCs w:val="24"/>
          <w:shd w:val="clear" w:color="auto" w:fill="FFFFFF"/>
        </w:rPr>
        <w:t>CNP Assurances, objet d'un projet d'offre d'achat de La Banque Postale à 21,90 euros par action, a dépassé sur les 9 premiers mois de 2021 sa performance de 2019. Corsetée par l'offre, l'action du spécialiste de l'assurance de personnes grappille 0,05% à 21,59 euros. Sur les trois premiers trimestres de 2021, CNP Assurances a généré un résultat net, part du groupe, de 1,01 milliard d'euros soit une hausse de 10 % par rapport à la même période de 2020. La progression est ressortie à 11,2 % à périmètre et change constants.</w:t>
      </w:r>
      <w:r w:rsidR="00CE2A19" w:rsidRPr="00081BCA">
        <w:rPr>
          <w:rFonts w:ascii="Times New Roman" w:eastAsia="Times New Roman" w:hAnsi="Times New Roman" w:cs="Times New Roman"/>
          <w:color w:val="464646"/>
          <w:sz w:val="24"/>
          <w:szCs w:val="24"/>
          <w:lang w:eastAsia="fr-FR"/>
        </w:rPr>
        <w:t xml:space="preserve"> </w:t>
      </w:r>
    </w:p>
    <w:p w14:paraId="6BA8F366" w14:textId="77777777" w:rsidR="00C92368" w:rsidRPr="00081BCA" w:rsidRDefault="00C92368" w:rsidP="00081BC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327EA9A" w14:textId="77777777" w:rsidR="00547E76" w:rsidRPr="00081BCA" w:rsidRDefault="00547E76" w:rsidP="00081BC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1BCA">
        <w:rPr>
          <w:rFonts w:ascii="Times New Roman" w:eastAsia="Times New Roman" w:hAnsi="Times New Roman" w:cs="Times New Roman"/>
          <w:color w:val="555555"/>
          <w:sz w:val="24"/>
          <w:szCs w:val="24"/>
          <w:lang w:eastAsia="fr-FR"/>
        </w:rPr>
        <w:t>Michelin a annoncé l’acquisition de 100% d’</w:t>
      </w:r>
      <w:proofErr w:type="spellStart"/>
      <w:r w:rsidRPr="00081BCA">
        <w:rPr>
          <w:rFonts w:ascii="Times New Roman" w:eastAsia="Times New Roman" w:hAnsi="Times New Roman" w:cs="Times New Roman"/>
          <w:color w:val="555555"/>
          <w:sz w:val="24"/>
          <w:szCs w:val="24"/>
          <w:lang w:eastAsia="fr-FR"/>
        </w:rPr>
        <w:t>AirCaptif</w:t>
      </w:r>
      <w:proofErr w:type="spellEnd"/>
      <w:r w:rsidRPr="00081BCA">
        <w:rPr>
          <w:rFonts w:ascii="Times New Roman" w:eastAsia="Times New Roman" w:hAnsi="Times New Roman" w:cs="Times New Roman"/>
          <w:color w:val="555555"/>
          <w:sz w:val="24"/>
          <w:szCs w:val="24"/>
          <w:lang w:eastAsia="fr-FR"/>
        </w:rPr>
        <w:t>, une société spécialisé dans les structures gonflables ultralégères de protection et d’isolation. « Ces solutions, simples d’utilisation et 10 fois moins lourdes que l’acier, privilégient un seul point de gonflage pour une mise en œuvre rapide et simplifiée », explique Michelin. Elles trouvent des applications dans des domaines variés tels que l’aéronautique, l’univers médical, la construction, ou encore les loisirs. Les termes financiers du deal n’ont pas été dévoilés.</w:t>
      </w:r>
    </w:p>
    <w:p w14:paraId="6D5FDC73" w14:textId="77777777" w:rsidR="00547E76" w:rsidRPr="00081BCA" w:rsidRDefault="00547E76" w:rsidP="00081B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1BCA">
        <w:rPr>
          <w:rFonts w:ascii="Times New Roman" w:eastAsia="Times New Roman" w:hAnsi="Times New Roman" w:cs="Times New Roman"/>
          <w:color w:val="555555"/>
          <w:sz w:val="24"/>
          <w:szCs w:val="24"/>
          <w:lang w:eastAsia="fr-FR"/>
        </w:rPr>
        <w:t xml:space="preserve">Basée à Trappes dans les Yvelines et créée en 2017, </w:t>
      </w:r>
      <w:proofErr w:type="spellStart"/>
      <w:r w:rsidRPr="00081BCA">
        <w:rPr>
          <w:rFonts w:ascii="Times New Roman" w:eastAsia="Times New Roman" w:hAnsi="Times New Roman" w:cs="Times New Roman"/>
          <w:color w:val="555555"/>
          <w:sz w:val="24"/>
          <w:szCs w:val="24"/>
          <w:lang w:eastAsia="fr-FR"/>
        </w:rPr>
        <w:t>AirCaptif</w:t>
      </w:r>
      <w:proofErr w:type="spellEnd"/>
      <w:r w:rsidRPr="00081BCA">
        <w:rPr>
          <w:rFonts w:ascii="Times New Roman" w:eastAsia="Times New Roman" w:hAnsi="Times New Roman" w:cs="Times New Roman"/>
          <w:color w:val="555555"/>
          <w:sz w:val="24"/>
          <w:szCs w:val="24"/>
          <w:lang w:eastAsia="fr-FR"/>
        </w:rPr>
        <w:t xml:space="preserve"> a déjà contribué à la création d'une trentaine d'emplois localement. Son développement dans les 5 prochaines années devrait amener à créer environ 200 emplois au total.</w:t>
      </w:r>
    </w:p>
    <w:p w14:paraId="11992510" w14:textId="77777777" w:rsidR="00547E76" w:rsidRPr="00081BCA" w:rsidRDefault="00547E76" w:rsidP="00081B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1BCA">
        <w:rPr>
          <w:rFonts w:ascii="Times New Roman" w:eastAsia="Times New Roman" w:hAnsi="Times New Roman" w:cs="Times New Roman"/>
          <w:color w:val="555555"/>
          <w:sz w:val="24"/>
          <w:szCs w:val="24"/>
          <w:lang w:eastAsia="fr-FR"/>
        </w:rPr>
        <w:lastRenderedPageBreak/>
        <w:t>Soutenue par le plan de relance France, et lauréat sélectionné par l'Etat français dans le cadre du " Plan de relance pour l'industrie – aéronautique " lancé en août 2020, son projet de développement industriel a permis la relocalisation en France d'activités initialement sous-traitées en Chine.</w:t>
      </w:r>
    </w:p>
    <w:p w14:paraId="3B2F7EE6" w14:textId="77777777" w:rsidR="00547E76" w:rsidRPr="00081BCA" w:rsidRDefault="00547E76" w:rsidP="00081B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1BCA">
        <w:rPr>
          <w:rFonts w:ascii="Times New Roman" w:eastAsia="Times New Roman" w:hAnsi="Times New Roman" w:cs="Times New Roman"/>
          <w:color w:val="555555"/>
          <w:sz w:val="24"/>
          <w:szCs w:val="24"/>
          <w:lang w:eastAsia="fr-FR"/>
        </w:rPr>
        <w:t>" L'acquisition d'</w:t>
      </w:r>
      <w:proofErr w:type="spellStart"/>
      <w:r w:rsidRPr="00081BCA">
        <w:rPr>
          <w:rFonts w:ascii="Times New Roman" w:eastAsia="Times New Roman" w:hAnsi="Times New Roman" w:cs="Times New Roman"/>
          <w:color w:val="555555"/>
          <w:sz w:val="24"/>
          <w:szCs w:val="24"/>
          <w:lang w:eastAsia="fr-FR"/>
        </w:rPr>
        <w:t>AirCaptif</w:t>
      </w:r>
      <w:proofErr w:type="spellEnd"/>
      <w:r w:rsidRPr="00081BCA">
        <w:rPr>
          <w:rFonts w:ascii="Times New Roman" w:eastAsia="Times New Roman" w:hAnsi="Times New Roman" w:cs="Times New Roman"/>
          <w:color w:val="555555"/>
          <w:sz w:val="24"/>
          <w:szCs w:val="24"/>
          <w:lang w:eastAsia="fr-FR"/>
        </w:rPr>
        <w:t xml:space="preserve"> contribuera à atteindre nos ambitions de croissance au-delà du pneu, et plus particulièrement dans le domaine des composites flexibles ", a commenté Maude </w:t>
      </w:r>
      <w:proofErr w:type="spellStart"/>
      <w:r w:rsidRPr="00081BCA">
        <w:rPr>
          <w:rFonts w:ascii="Times New Roman" w:eastAsia="Times New Roman" w:hAnsi="Times New Roman" w:cs="Times New Roman"/>
          <w:color w:val="555555"/>
          <w:sz w:val="24"/>
          <w:szCs w:val="24"/>
          <w:lang w:eastAsia="fr-FR"/>
        </w:rPr>
        <w:t>Portigliatti</w:t>
      </w:r>
      <w:proofErr w:type="spellEnd"/>
      <w:r w:rsidRPr="00081BCA">
        <w:rPr>
          <w:rFonts w:ascii="Times New Roman" w:eastAsia="Times New Roman" w:hAnsi="Times New Roman" w:cs="Times New Roman"/>
          <w:color w:val="555555"/>
          <w:sz w:val="24"/>
          <w:szCs w:val="24"/>
          <w:lang w:eastAsia="fr-FR"/>
        </w:rPr>
        <w:t>, Directrice Business, Matériaux de Haute Technologie, Membre du Comité Exécutif de Michelin.</w:t>
      </w:r>
    </w:p>
    <w:p w14:paraId="28241E37" w14:textId="77777777" w:rsidR="00547E76" w:rsidRPr="00081BCA" w:rsidRDefault="00547E76" w:rsidP="00081B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1BCA">
        <w:rPr>
          <w:rFonts w:ascii="Times New Roman" w:eastAsia="Times New Roman" w:hAnsi="Times New Roman" w:cs="Times New Roman"/>
          <w:color w:val="555555"/>
          <w:sz w:val="24"/>
          <w:szCs w:val="24"/>
          <w:lang w:eastAsia="fr-FR"/>
        </w:rPr>
        <w:t>En 2030, 20 à 30 % des revenus de Michelin proviendront des activités autour et au-delà du pneu. C'est ce que le groupe avait annoncé, en avril dernier, lors de la présentation de notre nouveau plan stratégique " Michelin in motion ".</w:t>
      </w:r>
    </w:p>
    <w:p w14:paraId="0CA7E399" w14:textId="77777777" w:rsidR="00547E76" w:rsidRPr="00081BCA" w:rsidRDefault="00547E76" w:rsidP="00081B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1BCA">
        <w:rPr>
          <w:rFonts w:ascii="Times New Roman" w:eastAsia="Times New Roman" w:hAnsi="Times New Roman" w:cs="Times New Roman"/>
          <w:color w:val="555555"/>
          <w:sz w:val="24"/>
          <w:szCs w:val="24"/>
          <w:lang w:eastAsia="fr-FR"/>
        </w:rPr>
        <w:t>Pour y parvenir, le groupe a l'ambition de se développer dans cinq domaines : les services et solutions, les composites flexibles durables, l'impression 3D métal, la mobilité hydrogène, et les matériaux pour la médecine régénérative.</w:t>
      </w:r>
    </w:p>
    <w:p w14:paraId="213FB0BE" w14:textId="77777777" w:rsidR="00D972E4" w:rsidRPr="00081BCA" w:rsidRDefault="00D972E4" w:rsidP="00081B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EF6E85C" w14:textId="52D93E25" w:rsidR="00F25282" w:rsidRPr="00081BCA" w:rsidRDefault="00F25282" w:rsidP="00081BC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081BCA">
        <w:rPr>
          <w:rFonts w:ascii="Times New Roman" w:eastAsia="Times New Roman" w:hAnsi="Times New Roman" w:cs="Times New Roman"/>
          <w:color w:val="555555"/>
          <w:sz w:val="24"/>
          <w:szCs w:val="24"/>
          <w:lang w:eastAsia="fr-FR"/>
        </w:rPr>
        <w:t>Plastivaloire</w:t>
      </w:r>
      <w:proofErr w:type="spellEnd"/>
      <w:r w:rsidRPr="00081BCA">
        <w:rPr>
          <w:rFonts w:ascii="Times New Roman" w:eastAsia="Times New Roman" w:hAnsi="Times New Roman" w:cs="Times New Roman"/>
          <w:color w:val="555555"/>
          <w:sz w:val="24"/>
          <w:szCs w:val="24"/>
          <w:lang w:eastAsia="fr-FR"/>
        </w:rPr>
        <w:t xml:space="preserve"> s’adjuge 1,35% à 6,02 euros sur la place de Paris, dans le sillage de son point d’activité annuel. Lors de son exercice 2020-2021, clos fin septembre, le plasturgiste automobile a réalisé un chiffre d’affaires de 677,2 millions d’euros, en croissance de 7,6% à donnée</w:t>
      </w:r>
      <w:r w:rsidR="00007753">
        <w:rPr>
          <w:rFonts w:ascii="Times New Roman" w:eastAsia="Times New Roman" w:hAnsi="Times New Roman" w:cs="Times New Roman"/>
          <w:color w:val="555555"/>
          <w:sz w:val="24"/>
          <w:szCs w:val="24"/>
          <w:lang w:eastAsia="fr-FR"/>
        </w:rPr>
        <w:t>s</w:t>
      </w:r>
      <w:r w:rsidRPr="00081BCA">
        <w:rPr>
          <w:rFonts w:ascii="Times New Roman" w:eastAsia="Times New Roman" w:hAnsi="Times New Roman" w:cs="Times New Roman"/>
          <w:color w:val="555555"/>
          <w:sz w:val="24"/>
          <w:szCs w:val="24"/>
          <w:lang w:eastAsia="fr-FR"/>
        </w:rPr>
        <w:t xml:space="preserve"> publiées sur un an et de 9,4% à taux de change constant. Le groupe a donc rempli son contrat, puisqu’il anticipait une activité comprise entre 670 et 680 millions d’euros. Il signe également au passage le deuxième chiffre d’affaires le plus élevé de son histoire.</w:t>
      </w:r>
    </w:p>
    <w:p w14:paraId="313CD72E" w14:textId="77777777" w:rsidR="00F25282" w:rsidRPr="00081BCA" w:rsidRDefault="00F25282" w:rsidP="00081B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1BCA">
        <w:rPr>
          <w:rFonts w:ascii="Times New Roman" w:eastAsia="Times New Roman" w:hAnsi="Times New Roman" w:cs="Times New Roman"/>
          <w:color w:val="555555"/>
          <w:sz w:val="24"/>
          <w:szCs w:val="24"/>
          <w:lang w:eastAsia="fr-FR"/>
        </w:rPr>
        <w:t>Une performance appréciable alors que le quatrième trimestre a été fortement impacté par la pénurie mondiale de composants électroniques, qui contraint de nombreux clients, notamment les constructeurs automobiles, à ralentir leur cadence de production ou à enchaîner des périodes de "stop &amp; go " dans leurs centres de production depuis mi-mars.</w:t>
      </w:r>
    </w:p>
    <w:p w14:paraId="665B34B5" w14:textId="77777777" w:rsidR="00F25282" w:rsidRPr="00081BCA" w:rsidRDefault="00F25282" w:rsidP="00081B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BC05E28" w14:textId="77777777" w:rsidR="00FC0726" w:rsidRPr="00081BCA" w:rsidRDefault="00FC0726" w:rsidP="00081BC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1BCA">
        <w:rPr>
          <w:rFonts w:ascii="Times New Roman" w:eastAsia="Times New Roman" w:hAnsi="Times New Roman" w:cs="Times New Roman"/>
          <w:color w:val="555555"/>
          <w:sz w:val="24"/>
          <w:szCs w:val="24"/>
          <w:lang w:eastAsia="fr-FR"/>
        </w:rPr>
        <w:t>AB Science gagne 2,6% à 12,58 euros. La biotech française a reçu l'autorisation de la FDA de reprendre le recrutement de patients dans l'étude de phase 3 confirmatoire évaluant le masitinib dans la sclérose latérale amyotrophique (SLA). L'étude a été autorisée dans 15 pays en Europe, aux Etats-Unis et dans d'autres régions, et AB Science recrute actuellement de nouveaux patients atteints de SLA avec une déficience fonctionnelle légère ou modérée (non sévère) au moment de l'inclusion pour prendre part à l'essai clinique.</w:t>
      </w:r>
    </w:p>
    <w:p w14:paraId="6DE8CF8A" w14:textId="77777777" w:rsidR="00FC0726" w:rsidRPr="00081BCA" w:rsidRDefault="00FC0726" w:rsidP="00081B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1BCA">
        <w:rPr>
          <w:rFonts w:ascii="Times New Roman" w:eastAsia="Times New Roman" w:hAnsi="Times New Roman" w:cs="Times New Roman"/>
          <w:color w:val="555555"/>
          <w:sz w:val="24"/>
          <w:szCs w:val="24"/>
          <w:lang w:eastAsia="fr-FR"/>
        </w:rPr>
        <w:t>Cette population de patients est très proche de celle qui a montré le plus grand bénéfice de survie avec le masitinib dans l'analyse de survie à long terme.</w:t>
      </w:r>
    </w:p>
    <w:p w14:paraId="176EDC02" w14:textId="77777777" w:rsidR="00FC0726" w:rsidRPr="00081BCA" w:rsidRDefault="00FC0726" w:rsidP="00081B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1BCA">
        <w:rPr>
          <w:rFonts w:ascii="Times New Roman" w:eastAsia="Times New Roman" w:hAnsi="Times New Roman" w:cs="Times New Roman"/>
          <w:color w:val="555555"/>
          <w:sz w:val="24"/>
          <w:szCs w:val="24"/>
          <w:lang w:eastAsia="fr-FR"/>
        </w:rPr>
        <w:t xml:space="preserve">L'objectif de cet essai est de comparer l'efficacité et la tolérance du masitinib combiné au </w:t>
      </w:r>
      <w:proofErr w:type="spellStart"/>
      <w:r w:rsidRPr="00081BCA">
        <w:rPr>
          <w:rFonts w:ascii="Times New Roman" w:eastAsia="Times New Roman" w:hAnsi="Times New Roman" w:cs="Times New Roman"/>
          <w:color w:val="555555"/>
          <w:sz w:val="24"/>
          <w:szCs w:val="24"/>
          <w:lang w:eastAsia="fr-FR"/>
        </w:rPr>
        <w:t>riluzole</w:t>
      </w:r>
      <w:proofErr w:type="spellEnd"/>
      <w:r w:rsidRPr="00081BCA">
        <w:rPr>
          <w:rFonts w:ascii="Times New Roman" w:eastAsia="Times New Roman" w:hAnsi="Times New Roman" w:cs="Times New Roman"/>
          <w:color w:val="555555"/>
          <w:sz w:val="24"/>
          <w:szCs w:val="24"/>
          <w:lang w:eastAsia="fr-FR"/>
        </w:rPr>
        <w:t xml:space="preserve"> par rapport au cocktail placebo/</w:t>
      </w:r>
      <w:proofErr w:type="spellStart"/>
      <w:r w:rsidRPr="00081BCA">
        <w:rPr>
          <w:rFonts w:ascii="Times New Roman" w:eastAsia="Times New Roman" w:hAnsi="Times New Roman" w:cs="Times New Roman"/>
          <w:color w:val="555555"/>
          <w:sz w:val="24"/>
          <w:szCs w:val="24"/>
          <w:lang w:eastAsia="fr-FR"/>
        </w:rPr>
        <w:t>riluzole</w:t>
      </w:r>
      <w:proofErr w:type="spellEnd"/>
      <w:r w:rsidRPr="00081BCA">
        <w:rPr>
          <w:rFonts w:ascii="Times New Roman" w:eastAsia="Times New Roman" w:hAnsi="Times New Roman" w:cs="Times New Roman"/>
          <w:color w:val="555555"/>
          <w:sz w:val="24"/>
          <w:szCs w:val="24"/>
          <w:lang w:eastAsia="fr-FR"/>
        </w:rPr>
        <w:t xml:space="preserve"> chez des patients souffrant de la SLA.</w:t>
      </w:r>
    </w:p>
    <w:p w14:paraId="4F906338" w14:textId="77777777" w:rsidR="00FC0726" w:rsidRPr="00081BCA" w:rsidRDefault="00FC0726" w:rsidP="00081B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C346251" w14:textId="77777777" w:rsidR="00BD5CFC" w:rsidRPr="00081BCA" w:rsidRDefault="00BD5CFC" w:rsidP="00081BC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1BCA">
        <w:rPr>
          <w:rFonts w:ascii="Times New Roman" w:eastAsia="Times New Roman" w:hAnsi="Times New Roman" w:cs="Times New Roman"/>
          <w:color w:val="555555"/>
          <w:sz w:val="24"/>
          <w:szCs w:val="24"/>
          <w:lang w:eastAsia="fr-FR"/>
        </w:rPr>
        <w:t>Kingfisher trébuche à la bourse de Londres, cédant 4,70% à 321,35 pence, dans le sillage de la publication de ses ventes trimestrielles. Le roi des magasins de bricolage a ainsi fait état ce matin d'un chiffre d'affaires en baisse de 6,3% (-2,4% à périmètre comparable), à 3,25 milliards de livres, au cours de son troisième trimestre achevé au 31 octobre 2021. La comparaison souffre du rattrapage constaté l'an dernier à la même époque alors que les clients sortaient de confinement. Sur deux ans, les ventes ont néanmoins progressé de 15% en organique.</w:t>
      </w:r>
    </w:p>
    <w:p w14:paraId="60ACB0BD" w14:textId="77777777" w:rsidR="00BD5CFC" w:rsidRPr="00081BCA" w:rsidRDefault="00BD5CFC" w:rsidP="00081B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1BCA">
        <w:rPr>
          <w:rFonts w:ascii="Times New Roman" w:eastAsia="Times New Roman" w:hAnsi="Times New Roman" w:cs="Times New Roman"/>
          <w:color w:val="555555"/>
          <w:sz w:val="24"/>
          <w:szCs w:val="24"/>
          <w:lang w:eastAsia="fr-FR"/>
        </w:rPr>
        <w:t xml:space="preserve">"Ces tendances de vente sont encore plus fortes dans le contexte d'un environnement de consommation de plus en plus 'normalisé', s'est malgré tout félicité Thierry Garnier, le </w:t>
      </w:r>
      <w:r w:rsidRPr="00081BCA">
        <w:rPr>
          <w:rFonts w:ascii="Times New Roman" w:eastAsia="Times New Roman" w:hAnsi="Times New Roman" w:cs="Times New Roman"/>
          <w:color w:val="555555"/>
          <w:sz w:val="24"/>
          <w:szCs w:val="24"/>
          <w:lang w:eastAsia="fr-FR"/>
        </w:rPr>
        <w:lastRenderedPageBreak/>
        <w:t>directeur général de Kingfisher. La demande reste soutenue par ce que nous pensons être les nouvelles tendances durables du secteur, notamment le travail à domicile".</w:t>
      </w:r>
    </w:p>
    <w:p w14:paraId="09DA0A5D" w14:textId="77777777" w:rsidR="00BD5CFC" w:rsidRPr="00081BCA" w:rsidRDefault="00BD5CFC" w:rsidP="00081B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CDB909C" w14:textId="7A00F4E5" w:rsidR="00C45089" w:rsidRPr="00081BCA" w:rsidRDefault="004A29B6" w:rsidP="00081BCA">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81BCA">
        <w:rPr>
          <w:rFonts w:ascii="Times New Roman" w:hAnsi="Times New Roman" w:cs="Times New Roman"/>
          <w:color w:val="555555"/>
          <w:sz w:val="24"/>
          <w:szCs w:val="24"/>
          <w:shd w:val="clear" w:color="auto" w:fill="FFFFFF"/>
        </w:rPr>
        <w:t xml:space="preserve">Les Etats-Unis ont ouvert la voie à l'injection de la troisième dose, dite dose de rappel, à tous les adultes sans distinction. Jusqu'alors, seuls certains individus étaient éligibles. Reste encore une étape à franchir : Les Centers for </w:t>
      </w:r>
      <w:proofErr w:type="spellStart"/>
      <w:r w:rsidRPr="00081BCA">
        <w:rPr>
          <w:rFonts w:ascii="Times New Roman" w:hAnsi="Times New Roman" w:cs="Times New Roman"/>
          <w:color w:val="555555"/>
          <w:sz w:val="24"/>
          <w:szCs w:val="24"/>
          <w:shd w:val="clear" w:color="auto" w:fill="FFFFFF"/>
        </w:rPr>
        <w:t>Disease</w:t>
      </w:r>
      <w:proofErr w:type="spellEnd"/>
      <w:r w:rsidRPr="00081BCA">
        <w:rPr>
          <w:rFonts w:ascii="Times New Roman" w:hAnsi="Times New Roman" w:cs="Times New Roman"/>
          <w:color w:val="555555"/>
          <w:sz w:val="24"/>
          <w:szCs w:val="24"/>
          <w:shd w:val="clear" w:color="auto" w:fill="FFFFFF"/>
        </w:rPr>
        <w:t xml:space="preserve"> Control and Prevention doivent accepter d'étendre les rappels Pfizer et Moderna aux jeunes adultes en bonne santé.</w:t>
      </w:r>
      <w:r w:rsidR="00CE2A19" w:rsidRPr="00081BCA">
        <w:rPr>
          <w:rFonts w:ascii="Times New Roman" w:eastAsia="Times New Roman" w:hAnsi="Times New Roman" w:cs="Times New Roman"/>
          <w:color w:val="464646"/>
          <w:sz w:val="24"/>
          <w:szCs w:val="24"/>
          <w:lang w:eastAsia="fr-FR"/>
        </w:rPr>
        <w:t xml:space="preserve"> </w:t>
      </w:r>
    </w:p>
    <w:p w14:paraId="05A2E2EB" w14:textId="77777777" w:rsidR="00C45089" w:rsidRPr="00081BCA" w:rsidRDefault="00C45089" w:rsidP="00081BC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BB3FC48" w14:textId="77777777" w:rsidR="0031657C" w:rsidRPr="0031657C" w:rsidRDefault="004F2A7D" w:rsidP="0031657C">
      <w:pPr>
        <w:pStyle w:val="sc-14kwckt-6"/>
        <w:numPr>
          <w:ilvl w:val="0"/>
          <w:numId w:val="2"/>
        </w:numPr>
        <w:shd w:val="clear" w:color="auto" w:fill="FFFFFF"/>
        <w:spacing w:before="0" w:beforeAutospacing="0" w:after="0" w:afterAutospacing="0"/>
        <w:jc w:val="both"/>
        <w:rPr>
          <w:color w:val="212121"/>
        </w:rPr>
      </w:pPr>
      <w:r w:rsidRPr="0031657C">
        <w:rPr>
          <w:color w:val="212121"/>
        </w:rPr>
        <w:t>Début octobre, en présentant sa note de conjoncture,</w:t>
      </w:r>
      <w:r w:rsidR="00A6023B" w:rsidRPr="0031657C">
        <w:rPr>
          <w:color w:val="212121"/>
        </w:rPr>
        <w:t xml:space="preserve"> l’Insee avait anticipé un taux de chômage à 7,6% de la population active</w:t>
      </w:r>
      <w:r w:rsidR="0031657C" w:rsidRPr="0031657C">
        <w:rPr>
          <w:color w:val="212121"/>
        </w:rPr>
        <w:t xml:space="preserve"> au troisième trimestre</w:t>
      </w:r>
      <w:r w:rsidRPr="0031657C">
        <w:rPr>
          <w:color w:val="212121"/>
        </w:rPr>
        <w:t>. Ce vendredi, en dévoilant le résultat, il est finalement ressorti à 8,1 %, en hausse de 0,1 point.</w:t>
      </w:r>
    </w:p>
    <w:p w14:paraId="43628E3F" w14:textId="77777777" w:rsidR="0031657C" w:rsidRPr="0031657C" w:rsidRDefault="004F2A7D" w:rsidP="0031657C">
      <w:pPr>
        <w:pStyle w:val="sc-14kwckt-6"/>
        <w:shd w:val="clear" w:color="auto" w:fill="FFFFFF"/>
        <w:spacing w:before="0" w:beforeAutospacing="0" w:after="0" w:afterAutospacing="0"/>
        <w:ind w:left="720"/>
        <w:jc w:val="both"/>
        <w:rPr>
          <w:color w:val="212121"/>
        </w:rPr>
      </w:pPr>
      <w:r w:rsidRPr="0031657C">
        <w:rPr>
          <w:color w:val="212121"/>
        </w:rPr>
        <w:t>Le taux de chômage mesuré au sens du Bureau international du travail (BIT) reste quasi stable, à un niveau autour duquel il oscille depuis la fin de l'année dernière et qui était celui d'avant le début de la crise sanitaire. Au total, cela concerne 2,4 millions de personnes en France (hors Mayotte), soit 52.000 de plus qu'au trimestre précédent.</w:t>
      </w:r>
    </w:p>
    <w:p w14:paraId="6C67D288" w14:textId="353813F6" w:rsidR="004F2A7D" w:rsidRPr="0031657C" w:rsidRDefault="004F2A7D" w:rsidP="0031657C">
      <w:pPr>
        <w:pStyle w:val="sc-14kwckt-6"/>
        <w:shd w:val="clear" w:color="auto" w:fill="FFFFFF"/>
        <w:spacing w:before="0" w:beforeAutospacing="0" w:after="0" w:afterAutospacing="0"/>
        <w:ind w:left="720"/>
        <w:jc w:val="both"/>
        <w:rPr>
          <w:color w:val="212121"/>
        </w:rPr>
      </w:pPr>
      <w:r w:rsidRPr="0031657C">
        <w:rPr>
          <w:color w:val="212121"/>
        </w:rPr>
        <w:t>« Cette quasi-stabilité du taux de chômage au troisième trimestre 2021 résulte tout à la fois du fort dynamisme de l'emploi et de celui de la population active, comme au trimestre précédent », a commenté l'institut statistique national.</w:t>
      </w:r>
    </w:p>
    <w:p w14:paraId="6BC7ACFF" w14:textId="77777777" w:rsidR="0031657C" w:rsidRPr="0031657C" w:rsidRDefault="00A6023B" w:rsidP="0031657C">
      <w:pPr>
        <w:pStyle w:val="Paragraphedeliste"/>
        <w:shd w:val="clear" w:color="auto" w:fill="FFFFFF"/>
        <w:spacing w:after="150" w:line="240" w:lineRule="auto"/>
        <w:jc w:val="both"/>
        <w:textAlignment w:val="baseline"/>
        <w:rPr>
          <w:rFonts w:ascii="Times New Roman" w:hAnsi="Times New Roman" w:cs="Times New Roman"/>
          <w:color w:val="212121"/>
          <w:sz w:val="24"/>
          <w:szCs w:val="24"/>
          <w:shd w:val="clear" w:color="auto" w:fill="FFFFFF"/>
        </w:rPr>
      </w:pPr>
      <w:r w:rsidRPr="0031657C">
        <w:rPr>
          <w:rFonts w:ascii="Times New Roman" w:hAnsi="Times New Roman" w:cs="Times New Roman"/>
          <w:color w:val="212121"/>
          <w:sz w:val="24"/>
          <w:szCs w:val="24"/>
          <w:shd w:val="clear" w:color="auto" w:fill="FFFFFF"/>
        </w:rPr>
        <w:t>Cette évolution peut paraître décevante. Elle ne doit pas cacher la réalité d'un tableau - macroéconomique - du marché du travail en nette amélioration, sur laquelle personne ou presque n'aurait parié début mai même si elle interroge sur ce qui ressort de la part conjoncturelle ou de la part structurelle.</w:t>
      </w:r>
    </w:p>
    <w:p w14:paraId="51072F02" w14:textId="77777777" w:rsidR="0031657C" w:rsidRPr="0031657C" w:rsidRDefault="00A6023B" w:rsidP="0031657C">
      <w:pPr>
        <w:pStyle w:val="Paragraphedeliste"/>
        <w:shd w:val="clear" w:color="auto" w:fill="FFFFFF"/>
        <w:spacing w:after="150" w:line="240" w:lineRule="auto"/>
        <w:jc w:val="both"/>
        <w:textAlignment w:val="baseline"/>
        <w:rPr>
          <w:rFonts w:ascii="Times New Roman" w:hAnsi="Times New Roman" w:cs="Times New Roman"/>
          <w:color w:val="212121"/>
          <w:sz w:val="24"/>
          <w:szCs w:val="24"/>
        </w:rPr>
      </w:pPr>
      <w:r w:rsidRPr="0031657C">
        <w:rPr>
          <w:rFonts w:ascii="Times New Roman" w:hAnsi="Times New Roman" w:cs="Times New Roman"/>
          <w:color w:val="212121"/>
          <w:sz w:val="24"/>
          <w:szCs w:val="24"/>
        </w:rPr>
        <w:t>Comme l'avait prévu l'Insee, le taux d'emploi des 15-64 ans atteint un nouveau plus haut depuis 1975. A 67,5 %, il a gagné 0,5 point sur un trimestre, et 0,7 point depuis la fin de 2019. « Un niveau inédit », relève le chef de la division synthèse et conjoncture du marché du travail, Sylvain Larrieu. </w:t>
      </w:r>
    </w:p>
    <w:p w14:paraId="4DBD6FBE" w14:textId="77777777" w:rsidR="0031657C" w:rsidRPr="0031657C" w:rsidRDefault="00A6023B" w:rsidP="0031657C">
      <w:pPr>
        <w:pStyle w:val="Paragraphedeliste"/>
        <w:shd w:val="clear" w:color="auto" w:fill="FFFFFF"/>
        <w:spacing w:after="150" w:line="240" w:lineRule="auto"/>
        <w:jc w:val="both"/>
        <w:textAlignment w:val="baseline"/>
        <w:rPr>
          <w:rFonts w:ascii="Times New Roman" w:hAnsi="Times New Roman" w:cs="Times New Roman"/>
          <w:color w:val="212121"/>
          <w:sz w:val="24"/>
          <w:szCs w:val="24"/>
        </w:rPr>
      </w:pPr>
      <w:r w:rsidRPr="0031657C">
        <w:rPr>
          <w:rFonts w:ascii="Times New Roman" w:hAnsi="Times New Roman" w:cs="Times New Roman"/>
          <w:color w:val="212121"/>
          <w:sz w:val="24"/>
          <w:szCs w:val="24"/>
        </w:rPr>
        <w:t>Toutes les tranches d'âge en ont profité, mais encore plus les jeunes, portés par la réouverture des cafés et la très forte hausse du nombre d'entrées en apprentissage. La qualité des postes n'est pas en reste, si l'on en juge par la hausse du taux d'emploi à temps complet et la baisse du taux d'emploi à temps partiel.</w:t>
      </w:r>
    </w:p>
    <w:p w14:paraId="117E3533" w14:textId="77777777" w:rsidR="0031657C" w:rsidRPr="0031657C" w:rsidRDefault="00A6023B" w:rsidP="0031657C">
      <w:pPr>
        <w:pStyle w:val="Paragraphedeliste"/>
        <w:shd w:val="clear" w:color="auto" w:fill="FFFFFF"/>
        <w:spacing w:after="150" w:line="240" w:lineRule="auto"/>
        <w:jc w:val="both"/>
        <w:textAlignment w:val="baseline"/>
        <w:rPr>
          <w:rFonts w:ascii="Times New Roman" w:hAnsi="Times New Roman" w:cs="Times New Roman"/>
          <w:color w:val="212121"/>
          <w:sz w:val="24"/>
          <w:szCs w:val="24"/>
        </w:rPr>
      </w:pPr>
      <w:r w:rsidRPr="0031657C">
        <w:rPr>
          <w:rFonts w:ascii="Times New Roman" w:hAnsi="Times New Roman" w:cs="Times New Roman"/>
          <w:color w:val="212121"/>
          <w:sz w:val="24"/>
          <w:szCs w:val="24"/>
        </w:rPr>
        <w:t>A contrario, la prévision de l'Insee a péché sur la mesure de la population active, qui regroupe les personnes en emploi ou au chômage, qui s'est avérée beaucoup plus élevée sur le troisième trimestre. A telle enseigne que le taux d'activité des 15-64 ans a lui aussi battu un nouveau record, pour atteindre 73,5 %, soit 0,7 point de plus que fin 2019.</w:t>
      </w:r>
    </w:p>
    <w:p w14:paraId="6F7627A7" w14:textId="77777777" w:rsidR="0031657C" w:rsidRPr="0031657C" w:rsidRDefault="00A6023B" w:rsidP="0031657C">
      <w:pPr>
        <w:pStyle w:val="Paragraphedeliste"/>
        <w:shd w:val="clear" w:color="auto" w:fill="FFFFFF"/>
        <w:spacing w:after="150" w:line="240" w:lineRule="auto"/>
        <w:jc w:val="both"/>
        <w:textAlignment w:val="baseline"/>
        <w:rPr>
          <w:rFonts w:ascii="Times New Roman" w:hAnsi="Times New Roman" w:cs="Times New Roman"/>
          <w:color w:val="212121"/>
          <w:sz w:val="24"/>
          <w:szCs w:val="24"/>
        </w:rPr>
      </w:pPr>
      <w:r w:rsidRPr="0031657C">
        <w:rPr>
          <w:rFonts w:ascii="Times New Roman" w:hAnsi="Times New Roman" w:cs="Times New Roman"/>
          <w:color w:val="212121"/>
          <w:sz w:val="24"/>
          <w:szCs w:val="24"/>
        </w:rPr>
        <w:t>Comment l'interpréter ? Sylvain Larrieu entrevoit deux raisons dont il faudra confirmer le caractère durable ou non. La première va de pair avec la baisse très nette, de 175.000, du nombre de personnes placées dans ce que l'on appelle le « halo » du chômage. C'est-à-dire des gens qui se sont retirés temporairement du marché du travail. A la faveur de la forte reprise économique, un mouvement de bascule opposé s'est opéré, plus important que prévu.</w:t>
      </w:r>
    </w:p>
    <w:p w14:paraId="7D1B3B28" w14:textId="77777777" w:rsidR="0031657C" w:rsidRPr="0031657C" w:rsidRDefault="00A6023B" w:rsidP="0031657C">
      <w:pPr>
        <w:pStyle w:val="Paragraphedeliste"/>
        <w:shd w:val="clear" w:color="auto" w:fill="FFFFFF"/>
        <w:spacing w:after="150" w:line="240" w:lineRule="auto"/>
        <w:jc w:val="both"/>
        <w:textAlignment w:val="baseline"/>
        <w:rPr>
          <w:rFonts w:ascii="Times New Roman" w:hAnsi="Times New Roman" w:cs="Times New Roman"/>
          <w:color w:val="212121"/>
          <w:sz w:val="24"/>
          <w:szCs w:val="24"/>
        </w:rPr>
      </w:pPr>
      <w:r w:rsidRPr="0031657C">
        <w:rPr>
          <w:rFonts w:ascii="Times New Roman" w:hAnsi="Times New Roman" w:cs="Times New Roman"/>
          <w:color w:val="212121"/>
          <w:sz w:val="24"/>
          <w:szCs w:val="24"/>
        </w:rPr>
        <w:t>« Ce que l'on voit c'est qu'on a un retour très fort de personnes qui étaient sorties du marché du travail […] On pensait qu'ils allaient revenir progressivement […] et en fait, ils sont tous revenus, même un peu plus qu'avant-crise », confirme Mathieu Plane, économiste à l'OFCE cité par l'AFP qui y voit « un bon signe ».</w:t>
      </w:r>
    </w:p>
    <w:p w14:paraId="18154257" w14:textId="77777777" w:rsidR="0031657C" w:rsidRPr="0031657C" w:rsidRDefault="00A6023B" w:rsidP="0031657C">
      <w:pPr>
        <w:pStyle w:val="Paragraphedeliste"/>
        <w:shd w:val="clear" w:color="auto" w:fill="FFFFFF"/>
        <w:spacing w:after="150" w:line="240" w:lineRule="auto"/>
        <w:jc w:val="both"/>
        <w:textAlignment w:val="baseline"/>
        <w:rPr>
          <w:rFonts w:ascii="Times New Roman" w:hAnsi="Times New Roman" w:cs="Times New Roman"/>
          <w:color w:val="212121"/>
          <w:sz w:val="24"/>
          <w:szCs w:val="24"/>
        </w:rPr>
      </w:pPr>
      <w:r w:rsidRPr="0031657C">
        <w:rPr>
          <w:rFonts w:ascii="Times New Roman" w:hAnsi="Times New Roman" w:cs="Times New Roman"/>
          <w:color w:val="212121"/>
          <w:sz w:val="24"/>
          <w:szCs w:val="24"/>
        </w:rPr>
        <w:lastRenderedPageBreak/>
        <w:t>La seconde explication à la hausse de la population active tient au fort taux d'emploi des jeunes, et par conséquent de leur taux d'activité. A 41,1 % des 15-24 ans, il a gagné 3,2 points depuis fin 2019 pour établir un record depuis le deuxième trimestre de 2009.</w:t>
      </w:r>
    </w:p>
    <w:p w14:paraId="4759B53D" w14:textId="45639343" w:rsidR="00A6023B" w:rsidRPr="0031657C" w:rsidRDefault="00A6023B" w:rsidP="0031657C">
      <w:pPr>
        <w:pStyle w:val="Paragraphedeliste"/>
        <w:shd w:val="clear" w:color="auto" w:fill="FFFFFF"/>
        <w:spacing w:after="150" w:line="240" w:lineRule="auto"/>
        <w:jc w:val="both"/>
        <w:textAlignment w:val="baseline"/>
        <w:rPr>
          <w:rFonts w:ascii="Times New Roman" w:hAnsi="Times New Roman" w:cs="Times New Roman"/>
          <w:color w:val="212121"/>
          <w:sz w:val="24"/>
          <w:szCs w:val="24"/>
        </w:rPr>
      </w:pPr>
      <w:r w:rsidRPr="0031657C">
        <w:rPr>
          <w:rFonts w:ascii="Times New Roman" w:hAnsi="Times New Roman" w:cs="Times New Roman"/>
          <w:color w:val="212121"/>
          <w:sz w:val="24"/>
          <w:szCs w:val="24"/>
        </w:rPr>
        <w:t>Autre effet positif, la part de ceux qui ne sont ni en emploi ni en formation, les « </w:t>
      </w:r>
      <w:proofErr w:type="spellStart"/>
      <w:r w:rsidRPr="0031657C">
        <w:rPr>
          <w:rFonts w:ascii="Times New Roman" w:hAnsi="Times New Roman" w:cs="Times New Roman"/>
          <w:color w:val="212121"/>
          <w:sz w:val="24"/>
          <w:szCs w:val="24"/>
        </w:rPr>
        <w:t>Neet</w:t>
      </w:r>
      <w:proofErr w:type="spellEnd"/>
      <w:r w:rsidRPr="0031657C">
        <w:rPr>
          <w:rFonts w:ascii="Times New Roman" w:hAnsi="Times New Roman" w:cs="Times New Roman"/>
          <w:color w:val="212121"/>
          <w:sz w:val="24"/>
          <w:szCs w:val="24"/>
        </w:rPr>
        <w:t> » pour reprendre l'acronyme anglo-saxon, a atteint son plus bas niveau depuis fin 2008, à 11,6 %.</w:t>
      </w:r>
    </w:p>
    <w:p w14:paraId="17E1B9D4" w14:textId="4809A975" w:rsidR="00C57C59" w:rsidRPr="0031657C" w:rsidRDefault="00C57C59" w:rsidP="0031657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6807A9F" w14:textId="77777777" w:rsidR="00D927B1" w:rsidRPr="0031657C" w:rsidRDefault="00D927B1" w:rsidP="0031657C">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24547EC8"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CD76DD">
        <w:rPr>
          <w:rFonts w:ascii="Times New Roman" w:hAnsi="Times New Roman" w:cs="Times New Roman"/>
          <w:b/>
          <w:bCs/>
          <w:sz w:val="28"/>
          <w:szCs w:val="28"/>
        </w:rPr>
        <w:t>22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14CB35BD" w14:textId="77777777" w:rsidR="00007753" w:rsidRDefault="00007753" w:rsidP="001A335C">
      <w:pPr>
        <w:jc w:val="center"/>
        <w:rPr>
          <w:rFonts w:ascii="Times New Roman" w:hAnsi="Times New Roman" w:cs="Times New Roman"/>
          <w:b/>
          <w:bCs/>
          <w:sz w:val="28"/>
          <w:szCs w:val="28"/>
        </w:rPr>
      </w:pPr>
    </w:p>
    <w:p w14:paraId="6BD5D55C" w14:textId="77777777" w:rsidR="00007753" w:rsidRDefault="00007753" w:rsidP="00007753">
      <w:pPr>
        <w:pStyle w:val="NormalWeb"/>
        <w:spacing w:before="0" w:beforeAutospacing="0" w:after="0" w:afterAutospacing="0"/>
        <w:ind w:firstLine="708"/>
        <w:rPr>
          <w:rStyle w:val="lev"/>
        </w:rPr>
      </w:pPr>
      <w:r>
        <w:rPr>
          <w:rStyle w:val="lev"/>
        </w:rPr>
        <w:t>16h00 aux Etats-Unis</w:t>
      </w:r>
    </w:p>
    <w:p w14:paraId="653E38A2" w14:textId="77777777" w:rsidR="00007753" w:rsidRDefault="00007753" w:rsidP="00007753">
      <w:pPr>
        <w:pStyle w:val="NormalWeb"/>
        <w:spacing w:before="0" w:beforeAutospacing="0" w:after="0" w:afterAutospacing="0"/>
        <w:ind w:firstLine="708"/>
      </w:pPr>
      <w:r>
        <w:t>Ventes de logements anciens en octobre</w:t>
      </w:r>
    </w:p>
    <w:p w14:paraId="2634F727" w14:textId="77777777" w:rsidR="00007753" w:rsidRDefault="00007753" w:rsidP="00007753">
      <w:pPr>
        <w:pStyle w:val="NormalWeb"/>
        <w:spacing w:before="0" w:beforeAutospacing="0" w:after="0" w:afterAutospacing="0"/>
        <w:ind w:firstLine="708"/>
      </w:pPr>
    </w:p>
    <w:p w14:paraId="1F0F8DF9" w14:textId="77777777" w:rsidR="00007753" w:rsidRDefault="00007753" w:rsidP="00007753">
      <w:pPr>
        <w:pStyle w:val="NormalWeb"/>
        <w:spacing w:before="0" w:beforeAutospacing="0" w:after="0" w:afterAutospacing="0"/>
        <w:ind w:firstLine="708"/>
      </w:pPr>
      <w:r>
        <w:rPr>
          <w:rStyle w:val="lev"/>
        </w:rPr>
        <w:t>16h00 en zone euro</w:t>
      </w:r>
    </w:p>
    <w:p w14:paraId="32C64B3F" w14:textId="77777777" w:rsidR="00007753" w:rsidRDefault="00007753" w:rsidP="00007753">
      <w:pPr>
        <w:pStyle w:val="NormalWeb"/>
        <w:spacing w:before="0" w:beforeAutospacing="0" w:after="0" w:afterAutospacing="0"/>
        <w:ind w:firstLine="708"/>
      </w:pPr>
      <w:r>
        <w:t>Indice de confiance des consommateurs en novembre</w:t>
      </w:r>
    </w:p>
    <w:p w14:paraId="245C74CC" w14:textId="77777777" w:rsidR="002539F4" w:rsidRPr="00007753" w:rsidRDefault="002539F4" w:rsidP="00007753">
      <w:pPr>
        <w:rPr>
          <w:rFonts w:ascii="Times New Roman" w:hAnsi="Times New Roman" w:cs="Times New Roman"/>
          <w:sz w:val="28"/>
          <w:szCs w:val="28"/>
        </w:rPr>
      </w:pPr>
    </w:p>
    <w:sectPr w:rsidR="002539F4" w:rsidRPr="00007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07753"/>
    <w:rsid w:val="000457D2"/>
    <w:rsid w:val="00076DC9"/>
    <w:rsid w:val="00081BCA"/>
    <w:rsid w:val="00095FB6"/>
    <w:rsid w:val="001070E7"/>
    <w:rsid w:val="001119B0"/>
    <w:rsid w:val="0013366B"/>
    <w:rsid w:val="00154A6F"/>
    <w:rsid w:val="00184438"/>
    <w:rsid w:val="001A335C"/>
    <w:rsid w:val="001B24C4"/>
    <w:rsid w:val="001E7353"/>
    <w:rsid w:val="002119DB"/>
    <w:rsid w:val="00227D04"/>
    <w:rsid w:val="00232AAD"/>
    <w:rsid w:val="00245F8A"/>
    <w:rsid w:val="00250F2A"/>
    <w:rsid w:val="00252C56"/>
    <w:rsid w:val="002539F4"/>
    <w:rsid w:val="00261D12"/>
    <w:rsid w:val="00281D2C"/>
    <w:rsid w:val="002B30C3"/>
    <w:rsid w:val="0031150B"/>
    <w:rsid w:val="0031657C"/>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29B6"/>
    <w:rsid w:val="004A4172"/>
    <w:rsid w:val="004D246E"/>
    <w:rsid w:val="004E602C"/>
    <w:rsid w:val="004F2A7D"/>
    <w:rsid w:val="00501573"/>
    <w:rsid w:val="00514936"/>
    <w:rsid w:val="00523B44"/>
    <w:rsid w:val="0052452F"/>
    <w:rsid w:val="0052668B"/>
    <w:rsid w:val="00536FF0"/>
    <w:rsid w:val="0053796F"/>
    <w:rsid w:val="00547E76"/>
    <w:rsid w:val="0058796B"/>
    <w:rsid w:val="00592518"/>
    <w:rsid w:val="005A4299"/>
    <w:rsid w:val="005B21A9"/>
    <w:rsid w:val="005F1191"/>
    <w:rsid w:val="00643302"/>
    <w:rsid w:val="0065405E"/>
    <w:rsid w:val="00662C34"/>
    <w:rsid w:val="00666D40"/>
    <w:rsid w:val="006E1AFE"/>
    <w:rsid w:val="007311E1"/>
    <w:rsid w:val="00750611"/>
    <w:rsid w:val="00774252"/>
    <w:rsid w:val="007A1184"/>
    <w:rsid w:val="007B5872"/>
    <w:rsid w:val="007C0DFB"/>
    <w:rsid w:val="007C4965"/>
    <w:rsid w:val="007E1A9B"/>
    <w:rsid w:val="007E4776"/>
    <w:rsid w:val="00833ED7"/>
    <w:rsid w:val="00845B07"/>
    <w:rsid w:val="008545BC"/>
    <w:rsid w:val="008559E1"/>
    <w:rsid w:val="0090180A"/>
    <w:rsid w:val="00904808"/>
    <w:rsid w:val="00923F26"/>
    <w:rsid w:val="009343BE"/>
    <w:rsid w:val="0093521B"/>
    <w:rsid w:val="00962D6B"/>
    <w:rsid w:val="00972B8B"/>
    <w:rsid w:val="00973F0B"/>
    <w:rsid w:val="00993FA3"/>
    <w:rsid w:val="00995449"/>
    <w:rsid w:val="00995A0B"/>
    <w:rsid w:val="009967C8"/>
    <w:rsid w:val="00997CAB"/>
    <w:rsid w:val="00A14AAE"/>
    <w:rsid w:val="00A6023B"/>
    <w:rsid w:val="00A63730"/>
    <w:rsid w:val="00A752C8"/>
    <w:rsid w:val="00A95749"/>
    <w:rsid w:val="00AA35BF"/>
    <w:rsid w:val="00AB111E"/>
    <w:rsid w:val="00AC4A8C"/>
    <w:rsid w:val="00AE4C61"/>
    <w:rsid w:val="00B069C2"/>
    <w:rsid w:val="00B3726B"/>
    <w:rsid w:val="00B4404A"/>
    <w:rsid w:val="00B62141"/>
    <w:rsid w:val="00BC1C41"/>
    <w:rsid w:val="00BC51B9"/>
    <w:rsid w:val="00BD5CFC"/>
    <w:rsid w:val="00C04554"/>
    <w:rsid w:val="00C12973"/>
    <w:rsid w:val="00C1699B"/>
    <w:rsid w:val="00C30549"/>
    <w:rsid w:val="00C448C6"/>
    <w:rsid w:val="00C45089"/>
    <w:rsid w:val="00C45F11"/>
    <w:rsid w:val="00C57C59"/>
    <w:rsid w:val="00C92368"/>
    <w:rsid w:val="00C935F2"/>
    <w:rsid w:val="00CD76DD"/>
    <w:rsid w:val="00CE2A19"/>
    <w:rsid w:val="00CF7DE6"/>
    <w:rsid w:val="00D11D81"/>
    <w:rsid w:val="00D73964"/>
    <w:rsid w:val="00D773DB"/>
    <w:rsid w:val="00D84A99"/>
    <w:rsid w:val="00D927B1"/>
    <w:rsid w:val="00D972E4"/>
    <w:rsid w:val="00E1589C"/>
    <w:rsid w:val="00E45027"/>
    <w:rsid w:val="00E57F64"/>
    <w:rsid w:val="00E94C51"/>
    <w:rsid w:val="00E976CD"/>
    <w:rsid w:val="00EA596F"/>
    <w:rsid w:val="00F05A79"/>
    <w:rsid w:val="00F25282"/>
    <w:rsid w:val="00F374E7"/>
    <w:rsid w:val="00F37F2E"/>
    <w:rsid w:val="00F66F96"/>
    <w:rsid w:val="00F8139D"/>
    <w:rsid w:val="00FC0726"/>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1336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13366B"/>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semiHidden/>
    <w:unhideWhenUsed/>
    <w:rsid w:val="0013366B"/>
    <w:rPr>
      <w:color w:val="0000FF"/>
      <w:u w:val="single"/>
    </w:rPr>
  </w:style>
  <w:style w:type="paragraph" w:customStyle="1" w:styleId="more">
    <w:name w:val="more"/>
    <w:basedOn w:val="Normal"/>
    <w:rsid w:val="001336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F2A7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59405633">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3014419">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16686663">
      <w:bodyDiv w:val="1"/>
      <w:marLeft w:val="0"/>
      <w:marRight w:val="0"/>
      <w:marTop w:val="0"/>
      <w:marBottom w:val="0"/>
      <w:divBdr>
        <w:top w:val="none" w:sz="0" w:space="0" w:color="auto"/>
        <w:left w:val="none" w:sz="0" w:space="0" w:color="auto"/>
        <w:bottom w:val="none" w:sz="0" w:space="0" w:color="auto"/>
        <w:right w:val="none" w:sz="0" w:space="0" w:color="auto"/>
      </w:divBdr>
      <w:divsChild>
        <w:div w:id="1766926217">
          <w:marLeft w:val="0"/>
          <w:marRight w:val="0"/>
          <w:marTop w:val="0"/>
          <w:marBottom w:val="600"/>
          <w:divBdr>
            <w:top w:val="none" w:sz="0" w:space="0" w:color="auto"/>
            <w:left w:val="none" w:sz="0" w:space="0" w:color="auto"/>
            <w:bottom w:val="none" w:sz="0" w:space="0" w:color="auto"/>
            <w:right w:val="none" w:sz="0" w:space="0" w:color="auto"/>
          </w:divBdr>
        </w:div>
        <w:div w:id="64962898">
          <w:marLeft w:val="0"/>
          <w:marRight w:val="0"/>
          <w:marTop w:val="0"/>
          <w:marBottom w:val="600"/>
          <w:divBdr>
            <w:top w:val="none" w:sz="0" w:space="0" w:color="auto"/>
            <w:left w:val="none" w:sz="0" w:space="0" w:color="auto"/>
            <w:bottom w:val="none" w:sz="0" w:space="0" w:color="auto"/>
            <w:right w:val="none" w:sz="0" w:space="0" w:color="auto"/>
          </w:divBdr>
          <w:divsChild>
            <w:div w:id="450898640">
              <w:marLeft w:val="0"/>
              <w:marRight w:val="0"/>
              <w:marTop w:val="0"/>
              <w:marBottom w:val="0"/>
              <w:divBdr>
                <w:top w:val="none" w:sz="0" w:space="0" w:color="auto"/>
                <w:left w:val="none" w:sz="0" w:space="0" w:color="auto"/>
                <w:bottom w:val="none" w:sz="0" w:space="0" w:color="auto"/>
                <w:right w:val="none" w:sz="0" w:space="0" w:color="auto"/>
              </w:divBdr>
              <w:divsChild>
                <w:div w:id="409083442">
                  <w:marLeft w:val="0"/>
                  <w:marRight w:val="0"/>
                  <w:marTop w:val="0"/>
                  <w:marBottom w:val="150"/>
                  <w:divBdr>
                    <w:top w:val="single" w:sz="6" w:space="8" w:color="EEEEEE"/>
                    <w:left w:val="none" w:sz="0" w:space="0" w:color="auto"/>
                    <w:bottom w:val="single" w:sz="6" w:space="8" w:color="EEEEEE"/>
                    <w:right w:val="none" w:sz="0" w:space="0" w:color="auto"/>
                  </w:divBdr>
                  <w:divsChild>
                    <w:div w:id="1075511867">
                      <w:marLeft w:val="-225"/>
                      <w:marRight w:val="-225"/>
                      <w:marTop w:val="0"/>
                      <w:marBottom w:val="0"/>
                      <w:divBdr>
                        <w:top w:val="none" w:sz="0" w:space="0" w:color="auto"/>
                        <w:left w:val="none" w:sz="0" w:space="0" w:color="auto"/>
                        <w:bottom w:val="none" w:sz="0" w:space="0" w:color="auto"/>
                        <w:right w:val="none" w:sz="0" w:space="0" w:color="auto"/>
                      </w:divBdr>
                    </w:div>
                  </w:divsChild>
                </w:div>
                <w:div w:id="1789008629">
                  <w:marLeft w:val="0"/>
                  <w:marRight w:val="0"/>
                  <w:marTop w:val="0"/>
                  <w:marBottom w:val="150"/>
                  <w:divBdr>
                    <w:top w:val="none" w:sz="0" w:space="0" w:color="auto"/>
                    <w:left w:val="none" w:sz="0" w:space="0" w:color="auto"/>
                    <w:bottom w:val="single" w:sz="6" w:space="8" w:color="EEEEEE"/>
                    <w:right w:val="none" w:sz="0" w:space="0" w:color="auto"/>
                  </w:divBdr>
                  <w:divsChild>
                    <w:div w:id="128786310">
                      <w:marLeft w:val="-225"/>
                      <w:marRight w:val="-225"/>
                      <w:marTop w:val="0"/>
                      <w:marBottom w:val="0"/>
                      <w:divBdr>
                        <w:top w:val="none" w:sz="0" w:space="0" w:color="auto"/>
                        <w:left w:val="none" w:sz="0" w:space="0" w:color="auto"/>
                        <w:bottom w:val="none" w:sz="0" w:space="0" w:color="auto"/>
                        <w:right w:val="none" w:sz="0" w:space="0" w:color="auto"/>
                      </w:divBdr>
                    </w:div>
                  </w:divsChild>
                </w:div>
                <w:div w:id="994987106">
                  <w:marLeft w:val="0"/>
                  <w:marRight w:val="0"/>
                  <w:marTop w:val="0"/>
                  <w:marBottom w:val="150"/>
                  <w:divBdr>
                    <w:top w:val="none" w:sz="0" w:space="0" w:color="auto"/>
                    <w:left w:val="none" w:sz="0" w:space="0" w:color="auto"/>
                    <w:bottom w:val="single" w:sz="6" w:space="8" w:color="EEEEEE"/>
                    <w:right w:val="none" w:sz="0" w:space="0" w:color="auto"/>
                  </w:divBdr>
                  <w:divsChild>
                    <w:div w:id="1221670250">
                      <w:marLeft w:val="-225"/>
                      <w:marRight w:val="-225"/>
                      <w:marTop w:val="0"/>
                      <w:marBottom w:val="0"/>
                      <w:divBdr>
                        <w:top w:val="none" w:sz="0" w:space="0" w:color="auto"/>
                        <w:left w:val="none" w:sz="0" w:space="0" w:color="auto"/>
                        <w:bottom w:val="none" w:sz="0" w:space="0" w:color="auto"/>
                        <w:right w:val="none" w:sz="0" w:space="0" w:color="auto"/>
                      </w:divBdr>
                    </w:div>
                  </w:divsChild>
                </w:div>
                <w:div w:id="161045645">
                  <w:marLeft w:val="0"/>
                  <w:marRight w:val="0"/>
                  <w:marTop w:val="0"/>
                  <w:marBottom w:val="150"/>
                  <w:divBdr>
                    <w:top w:val="none" w:sz="0" w:space="0" w:color="auto"/>
                    <w:left w:val="none" w:sz="0" w:space="0" w:color="auto"/>
                    <w:bottom w:val="single" w:sz="6" w:space="8" w:color="EEEEEE"/>
                    <w:right w:val="none" w:sz="0" w:space="0" w:color="auto"/>
                  </w:divBdr>
                  <w:divsChild>
                    <w:div w:id="1759055213">
                      <w:marLeft w:val="-225"/>
                      <w:marRight w:val="-225"/>
                      <w:marTop w:val="0"/>
                      <w:marBottom w:val="0"/>
                      <w:divBdr>
                        <w:top w:val="none" w:sz="0" w:space="0" w:color="auto"/>
                        <w:left w:val="none" w:sz="0" w:space="0" w:color="auto"/>
                        <w:bottom w:val="none" w:sz="0" w:space="0" w:color="auto"/>
                        <w:right w:val="none" w:sz="0" w:space="0" w:color="auto"/>
                      </w:divBdr>
                    </w:div>
                  </w:divsChild>
                </w:div>
                <w:div w:id="773482824">
                  <w:marLeft w:val="0"/>
                  <w:marRight w:val="0"/>
                  <w:marTop w:val="0"/>
                  <w:marBottom w:val="150"/>
                  <w:divBdr>
                    <w:top w:val="none" w:sz="0" w:space="0" w:color="auto"/>
                    <w:left w:val="none" w:sz="0" w:space="0" w:color="auto"/>
                    <w:bottom w:val="single" w:sz="6" w:space="8" w:color="EEEEEE"/>
                    <w:right w:val="none" w:sz="0" w:space="0" w:color="auto"/>
                  </w:divBdr>
                  <w:divsChild>
                    <w:div w:id="5039830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596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68380417">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2700726">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47659001">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67340544">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36572273">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59987881">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1961137">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2134</Words>
  <Characters>11742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2021-11-21T16:42:00Z</dcterms:created>
  <dcterms:modified xsi:type="dcterms:W3CDTF">2021-11-21T17:18:00Z</dcterms:modified>
</cp:coreProperties>
</file>