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0B747596"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5B21A9">
        <w:rPr>
          <w:rFonts w:ascii="Times New Roman" w:hAnsi="Times New Roman" w:cs="Times New Roman"/>
          <w:b/>
          <w:bCs/>
          <w:sz w:val="28"/>
          <w:szCs w:val="28"/>
        </w:rPr>
        <w:t>2</w:t>
      </w:r>
      <w:r w:rsidR="00115582">
        <w:rPr>
          <w:rFonts w:ascii="Times New Roman" w:hAnsi="Times New Roman" w:cs="Times New Roman"/>
          <w:b/>
          <w:bCs/>
          <w:sz w:val="28"/>
          <w:szCs w:val="28"/>
        </w:rPr>
        <w:t>9</w:t>
      </w:r>
      <w:r w:rsidR="00245F8A">
        <w:rPr>
          <w:rFonts w:ascii="Times New Roman" w:hAnsi="Times New Roman" w:cs="Times New Roman"/>
          <w:b/>
          <w:bCs/>
          <w:sz w:val="28"/>
          <w:szCs w:val="28"/>
        </w:rPr>
        <w:t xml:space="preserve"> </w:t>
      </w:r>
      <w:r w:rsidR="00115582">
        <w:rPr>
          <w:rFonts w:ascii="Times New Roman" w:hAnsi="Times New Roman" w:cs="Times New Roman"/>
          <w:b/>
          <w:bCs/>
          <w:sz w:val="28"/>
          <w:szCs w:val="28"/>
        </w:rPr>
        <w:t>novembre</w:t>
      </w:r>
      <w:r w:rsidR="00252C56">
        <w:rPr>
          <w:rFonts w:ascii="Times New Roman" w:hAnsi="Times New Roman" w:cs="Times New Roman"/>
          <w:b/>
          <w:bCs/>
          <w:sz w:val="28"/>
          <w:szCs w:val="28"/>
        </w:rPr>
        <w:t xml:space="preserve"> 2021</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0296EF5C" w14:textId="77777777" w:rsidR="00587070" w:rsidRPr="00DA22CF" w:rsidRDefault="00587070" w:rsidP="00DA22CF">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A22CF">
        <w:rPr>
          <w:rFonts w:ascii="Times New Roman" w:eastAsia="Times New Roman" w:hAnsi="Times New Roman" w:cs="Times New Roman"/>
          <w:color w:val="555555"/>
          <w:sz w:val="24"/>
          <w:szCs w:val="24"/>
          <w:lang w:eastAsia="fr-FR"/>
        </w:rPr>
        <w:t>Les marchés actions européens ont rebondi, sans toutefois compenser la chute de vendredi. Le CAC 40 a gagné 0,54% à 6 776,25 points tandis que l'Euro Stoxx 50 a progressé de 0,72% à 4 119,20 points. A Wall Street aussi, l'heure est à la reprise, timide. Le Dow Jones progresse de 0,29% et le Nadaq grimpe de 1,42%.</w:t>
      </w:r>
    </w:p>
    <w:p w14:paraId="73694C60" w14:textId="77777777" w:rsidR="00587070" w:rsidRPr="00DA22CF" w:rsidRDefault="00587070" w:rsidP="00DA22CF">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A22CF">
        <w:rPr>
          <w:rFonts w:ascii="Times New Roman" w:eastAsia="Times New Roman" w:hAnsi="Times New Roman" w:cs="Times New Roman"/>
          <w:color w:val="555555"/>
          <w:sz w:val="24"/>
          <w:szCs w:val="24"/>
          <w:lang w:eastAsia="fr-FR"/>
        </w:rPr>
        <w:t>Les titres sont en premier lieu soutenus par des rachats à bon compte. Les investisseurs attendent des informations sur le variant Omicron et surtout sur l'efficacité des vaccins actuels à cette nouvelle souche qui fait peser un risque "très élevé" sur le monde, selon l'OMS.</w:t>
      </w:r>
    </w:p>
    <w:p w14:paraId="29A3E24F" w14:textId="77777777" w:rsidR="00587070" w:rsidRPr="00DA22CF" w:rsidRDefault="00587070" w:rsidP="00DA22CF">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A22CF">
        <w:rPr>
          <w:rFonts w:ascii="Times New Roman" w:eastAsia="Times New Roman" w:hAnsi="Times New Roman" w:cs="Times New Roman"/>
          <w:color w:val="555555"/>
          <w:sz w:val="24"/>
          <w:szCs w:val="24"/>
          <w:lang w:eastAsia="fr-FR"/>
        </w:rPr>
        <w:t>"À ce stade, et avec toute la prudence qu'exige le peu d'informations reçues à ce jour, nous ne considérons pas cet événement comme un 'game changer' au scénario qui justifierait de réduire les risques de manière significative. Les investisseurs peuvent profiter de cet épisode de volatilité pour utiliser les niveaux de liquidités existants et reconstituer des positions", commente aujourd'hui Vincent Manuel, Directeur des Investissements chez Indosuez Wealth Management.</w:t>
      </w:r>
    </w:p>
    <w:p w14:paraId="3F6C016E" w14:textId="77777777" w:rsidR="00113CA2" w:rsidRPr="00DA22CF" w:rsidRDefault="00113CA2" w:rsidP="00DA22CF">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25973321" w14:textId="77777777" w:rsidR="00F46F6E" w:rsidRPr="00DA22CF" w:rsidRDefault="00F46F6E" w:rsidP="00DA22CF">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A22CF">
        <w:rPr>
          <w:rFonts w:ascii="Times New Roman" w:eastAsia="Times New Roman" w:hAnsi="Times New Roman" w:cs="Times New Roman"/>
          <w:color w:val="555555"/>
          <w:sz w:val="24"/>
          <w:szCs w:val="24"/>
          <w:lang w:eastAsia="fr-FR"/>
        </w:rPr>
        <w:t>Les intempéries en Colombie Britannique ont une nouvelle fois provoqué une flambée des prix du bois. Après les incendies de l'été dernier, la province canadienne a cette fois-ci été ravagée ces derniers jours par des pluies diluviennes, qui ont emporté routes, infrastructures de transport et ont mis à l'arrêt une grande partie de l'activité.</w:t>
      </w:r>
    </w:p>
    <w:p w14:paraId="349151A1" w14:textId="77777777" w:rsidR="00F46F6E" w:rsidRPr="00DA22CF" w:rsidRDefault="00F46F6E" w:rsidP="00DA22CF">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DA22CF">
        <w:rPr>
          <w:rFonts w:ascii="Times New Roman" w:eastAsia="Times New Roman" w:hAnsi="Times New Roman" w:cs="Times New Roman"/>
          <w:color w:val="555555"/>
          <w:sz w:val="24"/>
          <w:szCs w:val="24"/>
          <w:lang w:eastAsia="fr-FR"/>
        </w:rPr>
        <w:t>Le cours des 100 pieds de planche (environ 2,36 mètres cubes) pour une livraison en janvier 2022 a ainsi grimpé de 28,5% sur les deux dernières semaines pour atteindre lundi les 794,4 dollars. Il avait même dépassé les 830 dollars le 19 novembre, au plus haut depuis le mois de juillet.</w:t>
      </w:r>
    </w:p>
    <w:p w14:paraId="4DC0A398" w14:textId="77777777" w:rsidR="00F46F6E" w:rsidRPr="00DA22CF" w:rsidRDefault="00F46F6E" w:rsidP="00DA22CF">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402F3576" w14:textId="43C66F36" w:rsidR="009343BE" w:rsidRPr="00DA22CF" w:rsidRDefault="00F46F6E" w:rsidP="00DA22CF">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DA22CF">
        <w:rPr>
          <w:rFonts w:ascii="Times New Roman" w:hAnsi="Times New Roman" w:cs="Times New Roman"/>
          <w:color w:val="555555"/>
          <w:sz w:val="24"/>
          <w:szCs w:val="24"/>
          <w:shd w:val="clear" w:color="auto" w:fill="FFFFFF"/>
        </w:rPr>
        <w:t>Dans un environnement marqué par la découverte d'un nouveau variant du coronavirus, l'inquiétude des investisseurs a profité aux valeurs refuges plutôt qu'aux actifs risqués. Cette maxime se vérifie tout particulièrement dans l'évolution de la paire de devise dollar américain/peso mexicain. Alors que le billet vert s'est renforcé par rapport à la plupart des devises mondiales en novembre, il a gagné 8,5% contre la devise mexicaine depuis trois semaines, un dollar valant désormais 21,99 pesos. Le repli trimestriel de l'activité (-0,4%) au Mexique a également pesé la semaine passée.</w:t>
      </w:r>
      <w:r w:rsidR="009343BE" w:rsidRPr="00DA22CF">
        <w:rPr>
          <w:rFonts w:ascii="Times New Roman" w:hAnsi="Times New Roman" w:cs="Times New Roman"/>
          <w:color w:val="464646"/>
          <w:sz w:val="24"/>
          <w:szCs w:val="24"/>
          <w:shd w:val="clear" w:color="auto" w:fill="FFFFFF"/>
        </w:rPr>
        <w:t xml:space="preserve"> </w:t>
      </w:r>
    </w:p>
    <w:p w14:paraId="6E22B46D" w14:textId="77777777" w:rsidR="009343BE" w:rsidRPr="00DA22CF" w:rsidRDefault="009343BE" w:rsidP="00DA22CF">
      <w:pPr>
        <w:pStyle w:val="Paragraphedeliste"/>
        <w:jc w:val="both"/>
        <w:rPr>
          <w:rFonts w:ascii="Times New Roman" w:eastAsia="Times New Roman" w:hAnsi="Times New Roman" w:cs="Times New Roman"/>
          <w:color w:val="464646"/>
          <w:sz w:val="24"/>
          <w:szCs w:val="24"/>
          <w:lang w:eastAsia="fr-FR"/>
        </w:rPr>
      </w:pPr>
    </w:p>
    <w:p w14:paraId="69FFCF96" w14:textId="77777777" w:rsidR="00767E2D" w:rsidRPr="00DA22CF" w:rsidRDefault="00767E2D" w:rsidP="00DA22CF">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A22CF">
        <w:rPr>
          <w:rFonts w:ascii="Times New Roman" w:eastAsia="Times New Roman" w:hAnsi="Times New Roman" w:cs="Times New Roman"/>
          <w:color w:val="555555"/>
          <w:sz w:val="24"/>
          <w:szCs w:val="24"/>
          <w:lang w:eastAsia="fr-FR"/>
        </w:rPr>
        <w:t>Si les tendances démographiques récentes se prolongeaient, la population de la France augmenterait pour atteindre 69,3 millions d’habitants en 2044, a indiqué l'Insee. Elle diminuerait ensuite, pour s’établir à 68,1 millions d’habitants en 2070, soit 700 000 de plus qu’en 2021. Jusqu'en 2035, la population continuerait d'augmenter de 116 000 personnes en moyenne par an, du fait d'un solde naturel positif qui s'ajouterait à l'excédent migratoire.</w:t>
      </w:r>
    </w:p>
    <w:p w14:paraId="15CBAD53" w14:textId="77777777" w:rsidR="00767E2D" w:rsidRPr="00DA22CF" w:rsidRDefault="00767E2D" w:rsidP="00DA22CF">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A22CF">
        <w:rPr>
          <w:rFonts w:ascii="Times New Roman" w:eastAsia="Times New Roman" w:hAnsi="Times New Roman" w:cs="Times New Roman"/>
          <w:color w:val="555555"/>
          <w:sz w:val="24"/>
          <w:szCs w:val="24"/>
          <w:lang w:eastAsia="fr-FR"/>
        </w:rPr>
        <w:t>À partir de 2035, les décès seraient plus nombreux que les naissances, le solde naturel deviendrait alors négatif. Jusqu'en 2044, le solde migratoire compenserait ce déficit naturel et la population continuerait donc d'augmenter légèrement.</w:t>
      </w:r>
    </w:p>
    <w:p w14:paraId="41C4F7FC" w14:textId="77777777" w:rsidR="00767E2D" w:rsidRPr="00DA22CF" w:rsidRDefault="00767E2D" w:rsidP="00DA22CF">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A22CF">
        <w:rPr>
          <w:rFonts w:ascii="Times New Roman" w:eastAsia="Times New Roman" w:hAnsi="Times New Roman" w:cs="Times New Roman"/>
          <w:color w:val="555555"/>
          <w:sz w:val="24"/>
          <w:szCs w:val="24"/>
          <w:lang w:eastAsia="fr-FR"/>
        </w:rPr>
        <w:lastRenderedPageBreak/>
        <w:t>D'ici à 2070, la pyramide des âges serait largement modifiée. Le nombre de personnes de 60 à 74 ans resterait stable, celui des 75 ans ou plus devrait croître de 5,7 millions, tandis que celui des moins de 60 ans diminuerait de 5 millions. Portée par la hausse des 75 ans ou plus, la part des 65 ans ou plus dans la population augmenterait fortement, de 21 % à 29 %. Elle croîtrait ainsi au même rythme que par le passé, entre 1972 et 2021.</w:t>
      </w:r>
    </w:p>
    <w:p w14:paraId="0AC7C1C1" w14:textId="77777777" w:rsidR="00767E2D" w:rsidRPr="00DA22CF" w:rsidRDefault="00767E2D" w:rsidP="00DA22CF">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133F9681" w14:textId="02B45741" w:rsidR="00232AAD" w:rsidRPr="00DA22CF" w:rsidRDefault="00C0408A" w:rsidP="00DA22CF">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DA22CF">
        <w:rPr>
          <w:rFonts w:ascii="Times New Roman" w:hAnsi="Times New Roman" w:cs="Times New Roman"/>
          <w:color w:val="555555"/>
          <w:sz w:val="24"/>
          <w:szCs w:val="24"/>
          <w:shd w:val="clear" w:color="auto" w:fill="FFFFFF"/>
        </w:rPr>
        <w:t>Moderna travaille à l'élaboration de doses de rappel vaccinal adapté au nouveau variant du coronavirus baptisé Omicron, détecté en Afrique du Sud. Selon la biotech américaine un vaccin reformulé pourrait être prêt au début 2022.</w:t>
      </w:r>
      <w:r w:rsidR="00CE2A19" w:rsidRPr="00DA22CF">
        <w:rPr>
          <w:rFonts w:ascii="Times New Roman" w:eastAsia="Times New Roman" w:hAnsi="Times New Roman" w:cs="Times New Roman"/>
          <w:color w:val="464646"/>
          <w:sz w:val="24"/>
          <w:szCs w:val="24"/>
          <w:lang w:eastAsia="fr-FR"/>
        </w:rPr>
        <w:t xml:space="preserve"> </w:t>
      </w:r>
    </w:p>
    <w:p w14:paraId="1DA4B76C" w14:textId="77777777" w:rsidR="00CE2A19" w:rsidRPr="00DA22CF" w:rsidRDefault="00CE2A19" w:rsidP="00DA22CF">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172D30F3" w14:textId="77777777" w:rsidR="00113CA2" w:rsidRPr="00DA22CF" w:rsidRDefault="00113CA2" w:rsidP="00DA22CF">
      <w:pPr>
        <w:pStyle w:val="Paragraphedeliste"/>
        <w:numPr>
          <w:ilvl w:val="0"/>
          <w:numId w:val="2"/>
        </w:numPr>
        <w:shd w:val="clear" w:color="auto" w:fill="FFFFFF"/>
        <w:spacing w:after="0" w:line="240" w:lineRule="auto"/>
        <w:jc w:val="both"/>
        <w:rPr>
          <w:rFonts w:ascii="Times New Roman" w:eastAsia="Times New Roman" w:hAnsi="Times New Roman" w:cs="Times New Roman"/>
          <w:color w:val="555555"/>
          <w:sz w:val="24"/>
          <w:szCs w:val="24"/>
          <w:lang w:eastAsia="fr-FR"/>
        </w:rPr>
      </w:pPr>
      <w:r w:rsidRPr="00DA22CF">
        <w:rPr>
          <w:rFonts w:ascii="Times New Roman" w:eastAsia="Times New Roman" w:hAnsi="Times New Roman" w:cs="Times New Roman"/>
          <w:color w:val="555555"/>
          <w:sz w:val="24"/>
          <w:szCs w:val="24"/>
          <w:lang w:eastAsia="fr-FR"/>
        </w:rPr>
        <w:t>Au chapitre des valeurs, le secteur des équipementiers automobiles a été pénalisé par le profit warning de Faurecia.</w:t>
      </w:r>
    </w:p>
    <w:p w14:paraId="172EF1D2" w14:textId="77777777" w:rsidR="00113CA2" w:rsidRPr="00DA22CF" w:rsidRDefault="00113CA2" w:rsidP="00DA22CF">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4F6F8E3A" w14:textId="77777777" w:rsidR="000F56B0" w:rsidRPr="00DA22CF" w:rsidRDefault="000F56B0" w:rsidP="00DA22CF">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A22CF">
        <w:rPr>
          <w:rFonts w:ascii="Times New Roman" w:eastAsia="Times New Roman" w:hAnsi="Times New Roman" w:cs="Times New Roman"/>
          <w:color w:val="555555"/>
          <w:sz w:val="24"/>
          <w:szCs w:val="24"/>
          <w:lang w:eastAsia="fr-FR"/>
        </w:rPr>
        <w:t>Faurecia cède 6,8% à 37,61 euros, emportant le reste du secteur (-2,6% pour Plastic Omnium, -1,5% pour Valeo) dans son sillage. L'équipementier automobile français a ajusté à la baisse ses objectifs 2021. Il prend en compte "trois impacts principaux" : la nouvelle révision à la baisse de la production automobile en Europe, les difficultés à flexibiliser et compenser les coûts relatifs aux arrêts/redémarrages de production et enfin, des coûts exceptionnels liés à des difficultés de lancement d'un programme aux Etats-Unis (activités sièges dans le Michigan).</w:t>
      </w:r>
    </w:p>
    <w:p w14:paraId="05B02988" w14:textId="77777777" w:rsidR="000F56B0" w:rsidRPr="00DA22CF" w:rsidRDefault="000F56B0" w:rsidP="00DA22CF">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A22CF">
        <w:rPr>
          <w:rFonts w:ascii="Times New Roman" w:eastAsia="Times New Roman" w:hAnsi="Times New Roman" w:cs="Times New Roman"/>
          <w:color w:val="555555"/>
          <w:sz w:val="24"/>
          <w:szCs w:val="24"/>
          <w:lang w:eastAsia="fr-FR"/>
        </w:rPr>
        <w:t>Le groupe prévoit désormais des ventes comprises entre 15 et 15,5 milliards d'euros, contre des ventes d'environ 15,5 milliards lors de la précédente estimation publiée le 23 septembre. </w:t>
      </w:r>
    </w:p>
    <w:p w14:paraId="2017FDD1" w14:textId="77777777" w:rsidR="000F56B0" w:rsidRPr="00DA22CF" w:rsidRDefault="000F56B0" w:rsidP="00DA22CF">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2CC857C3" w14:textId="7B2CDE9A" w:rsidR="00C45089" w:rsidRPr="00DA22CF" w:rsidRDefault="00AE583A" w:rsidP="00DA22CF">
      <w:pPr>
        <w:pStyle w:val="Paragraphedeliste"/>
        <w:numPr>
          <w:ilvl w:val="0"/>
          <w:numId w:val="2"/>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DA22CF">
        <w:rPr>
          <w:rFonts w:ascii="Times New Roman" w:hAnsi="Times New Roman" w:cs="Times New Roman"/>
          <w:color w:val="555555"/>
          <w:sz w:val="24"/>
          <w:szCs w:val="24"/>
          <w:shd w:val="clear" w:color="auto" w:fill="FFFFFF"/>
        </w:rPr>
        <w:t>Icade a relevé ses objectifs 2021 à l’occasion de sa journée investisseurs. Le groupe immobilier vise un cash-flow net courant groupe par action 2021 en croissance d'environ 8% hors effet des cessions 2021 contre environ 5% auparavant. Le dividende 2021 est toujours attendu en augmentation de 3%. Cette année, 4 actifs core ont été cédés à date pour 507 millions d’euros, avec une prime moyenne sur la valeur du patrimoine de près de 11%.</w:t>
      </w:r>
      <w:r w:rsidR="00CE2A19" w:rsidRPr="00DA22CF">
        <w:rPr>
          <w:rFonts w:ascii="Times New Roman" w:eastAsia="Times New Roman" w:hAnsi="Times New Roman" w:cs="Times New Roman"/>
          <w:color w:val="464646"/>
          <w:sz w:val="24"/>
          <w:szCs w:val="24"/>
          <w:lang w:eastAsia="fr-FR"/>
        </w:rPr>
        <w:t xml:space="preserve"> </w:t>
      </w:r>
    </w:p>
    <w:p w14:paraId="6BA8F366" w14:textId="77777777" w:rsidR="00C92368" w:rsidRPr="00DA22CF" w:rsidRDefault="00C92368" w:rsidP="00DA22CF">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161A2E95" w14:textId="77777777" w:rsidR="00F431CC" w:rsidRPr="00DA22CF" w:rsidRDefault="00F431CC" w:rsidP="00DA22CF">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A22CF">
        <w:rPr>
          <w:rFonts w:ascii="Times New Roman" w:eastAsia="Times New Roman" w:hAnsi="Times New Roman" w:cs="Times New Roman"/>
          <w:color w:val="555555"/>
          <w:sz w:val="24"/>
          <w:szCs w:val="24"/>
          <w:lang w:eastAsia="fr-FR"/>
        </w:rPr>
        <w:t>Le luxe tire son épingle du jeu lundi. Kering gagne 3,2% à 686,9 euros pour signer la plus forte progression du CAC 40 devant Hermès (+2,6%) et LVMH (+1,1%). Pourtant, le secteur est deuil. Dimanche, LVMH a en effet annoncé le décès de Virgil Abloh, 41 ans, des suites d'un cancer. Depuis mars 2018, le designer américain, créateur de la marque Off-White en 2013, était directeur artistique des collections Homme de Louis Vuitton.</w:t>
      </w:r>
    </w:p>
    <w:p w14:paraId="0579BC56" w14:textId="77777777" w:rsidR="00F431CC" w:rsidRPr="00DA22CF" w:rsidRDefault="00F431CC" w:rsidP="00DA22CF">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A22CF">
        <w:rPr>
          <w:rFonts w:ascii="Times New Roman" w:eastAsia="Times New Roman" w:hAnsi="Times New Roman" w:cs="Times New Roman"/>
          <w:color w:val="555555"/>
          <w:sz w:val="24"/>
          <w:szCs w:val="24"/>
          <w:lang w:eastAsia="fr-FR"/>
        </w:rPr>
        <w:t>En juillet 2021, LVMH était devenu actionnaire majoritaire de Off-White. Depuis, LVMH et Virgil Abloh avaient annoncé vouloir étendre encore leur collaboration en vue de lancer de nouvelles marques et d'imaginer ensemble de nouveaux partenariats dans différents secteurs, au-delà de celui de la mode.</w:t>
      </w:r>
    </w:p>
    <w:p w14:paraId="5B8F9C4D" w14:textId="77777777" w:rsidR="00E50E97" w:rsidRPr="00DA22CF" w:rsidRDefault="00E50E97" w:rsidP="00DA22CF">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2F445A48" w14:textId="77777777" w:rsidR="00D10B12" w:rsidRPr="00DA22CF" w:rsidRDefault="00D10B12" w:rsidP="00DA22CF">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A22CF">
        <w:rPr>
          <w:rFonts w:ascii="Times New Roman" w:eastAsia="Times New Roman" w:hAnsi="Times New Roman" w:cs="Times New Roman"/>
          <w:color w:val="555555"/>
          <w:sz w:val="24"/>
          <w:szCs w:val="24"/>
          <w:lang w:eastAsia="fr-FR"/>
        </w:rPr>
        <w:t>Stellantis a signé un accord avec Vulcan Energy Resources Ltd. pour que ce dernier fournisse en Europe de l'hydroxyde de lithium pour batterie pour les véhicules électrifiés. L'accord, d'une durée de cinq ans, prévoit le début des livraisons en 2026. Vulcan fournira au constructeur automobile un minimum de 81 000 tonnes et un maximum de 99 000 tonnes d'hydroxyde de lithium sur la durée de cinq ans de l'accord.</w:t>
      </w:r>
    </w:p>
    <w:p w14:paraId="6C484954" w14:textId="77777777" w:rsidR="00D10B12" w:rsidRPr="00DA22CF" w:rsidRDefault="00D10B12" w:rsidP="00DA22CF">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A22CF">
        <w:rPr>
          <w:rFonts w:ascii="Times New Roman" w:eastAsia="Times New Roman" w:hAnsi="Times New Roman" w:cs="Times New Roman"/>
          <w:color w:val="555555"/>
          <w:sz w:val="24"/>
          <w:szCs w:val="24"/>
          <w:lang w:eastAsia="fr-FR"/>
        </w:rPr>
        <w:lastRenderedPageBreak/>
        <w:t>Cet accord d'approvisionnement s'inscrit dans la stratégie d'électrification de Stellantis, présentée lors de l'EV Day en juillet 2021, afin de garantir la disponibilité des matières premières clés pour les packs de batteries des véhicules électrifiés.</w:t>
      </w:r>
    </w:p>
    <w:p w14:paraId="2C321F2B" w14:textId="77777777" w:rsidR="00D10B12" w:rsidRPr="00DA22CF" w:rsidRDefault="00D10B12" w:rsidP="00DA22CF">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A22CF">
        <w:rPr>
          <w:rFonts w:ascii="Times New Roman" w:eastAsia="Times New Roman" w:hAnsi="Times New Roman" w:cs="Times New Roman"/>
          <w:color w:val="555555"/>
          <w:sz w:val="24"/>
          <w:szCs w:val="24"/>
          <w:lang w:eastAsia="fr-FR"/>
        </w:rPr>
        <w:t>Stellantis prévoit d'investir plus de 30 milliards d'euros d'ici 2025 dans l'électrification et les softwares, tout en restant la référence en termes de performance dans le secteur automobile avec une efficience en matière d'investissements 30 % supérieur à la moyenne de l'industrie en ce qui concerne le rapport dépenses en capital et en R&amp;D sur chiffre d'affaires.</w:t>
      </w:r>
    </w:p>
    <w:p w14:paraId="19E26DA5" w14:textId="77777777" w:rsidR="00D10B12" w:rsidRPr="00DA22CF" w:rsidRDefault="00D10B12" w:rsidP="00DA22CF">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A22CF">
        <w:rPr>
          <w:rFonts w:ascii="Times New Roman" w:eastAsia="Times New Roman" w:hAnsi="Times New Roman" w:cs="Times New Roman"/>
          <w:color w:val="555555"/>
          <w:sz w:val="24"/>
          <w:szCs w:val="24"/>
          <w:lang w:eastAsia="fr-FR"/>
        </w:rPr>
        <w:t>Le projet Zero Carbon Lithium de Vulcan dans la haute vallée du Rhin en Allemagne utilise l'énergie géothermique pour produire de l'hydroxyde de lithium pour batterie à partir de saumure sans utiliser de combustibles fossiles et en utilisant un minimum d'eau, ce qui réduit la génération de carbone dans la chaîne d'approvisionnement en métaux pour batteries.</w:t>
      </w:r>
    </w:p>
    <w:p w14:paraId="1E950F30" w14:textId="77777777" w:rsidR="00D10B12" w:rsidRPr="00DA22CF" w:rsidRDefault="00D10B12" w:rsidP="00DA22CF">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DA22CF">
        <w:rPr>
          <w:rFonts w:ascii="Times New Roman" w:eastAsia="Times New Roman" w:hAnsi="Times New Roman" w:cs="Times New Roman"/>
          <w:color w:val="555555"/>
          <w:sz w:val="24"/>
          <w:szCs w:val="24"/>
          <w:lang w:eastAsia="fr-FR"/>
        </w:rPr>
        <w:t>L'accord d'approvisionnement est soumis à la réussite du démarrage de l'exploitation commerciale de l'usine de Vulcan et à la qualification complète du produit.</w:t>
      </w:r>
    </w:p>
    <w:p w14:paraId="4547697A" w14:textId="77777777" w:rsidR="00D10B12" w:rsidRPr="00DA22CF" w:rsidRDefault="00D10B12" w:rsidP="00DA22CF">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5C004EDE" w14:textId="77777777" w:rsidR="002C5341" w:rsidRPr="00DA22CF" w:rsidRDefault="002C5341" w:rsidP="00DA22CF">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A22CF">
        <w:rPr>
          <w:rFonts w:ascii="Times New Roman" w:eastAsia="Times New Roman" w:hAnsi="Times New Roman" w:cs="Times New Roman"/>
          <w:color w:val="555555"/>
          <w:sz w:val="24"/>
          <w:szCs w:val="24"/>
          <w:lang w:eastAsia="fr-FR"/>
        </w:rPr>
        <w:t>Believe renforce sa position de leader sur le marché indien en forte croissance grâce à l'acquisition de Think Music, un leader dans le segment des bandes originales de films d’Inde du Sud. Le groupe français a acquis une participation initiale de 76 % pour un montant de l'ordre de 13 millions d'euros. La valorisation reflète la forte croissance de l'activité et le catalogue très rentable avec des droits perpétuels détenus par Think Music, a indiqué Believe.</w:t>
      </w:r>
    </w:p>
    <w:p w14:paraId="12DE7B75" w14:textId="77777777" w:rsidR="002C5341" w:rsidRPr="00DA22CF" w:rsidRDefault="002C5341" w:rsidP="00DA22CF">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A22CF">
        <w:rPr>
          <w:rFonts w:ascii="Times New Roman" w:eastAsia="Times New Roman" w:hAnsi="Times New Roman" w:cs="Times New Roman"/>
          <w:color w:val="555555"/>
          <w:sz w:val="24"/>
          <w:szCs w:val="24"/>
          <w:lang w:eastAsia="fr-FR"/>
        </w:rPr>
        <w:t>L'équipe de management actuelle, dirigée par Swaroop Reddy, très réputée et fortement connectée dans l'industrie locale de la musique et du cinéma, restera en place.</w:t>
      </w:r>
    </w:p>
    <w:p w14:paraId="7C33050D" w14:textId="77777777" w:rsidR="002C5341" w:rsidRPr="00DA22CF" w:rsidRDefault="002C5341" w:rsidP="00DA22CF">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A22CF">
        <w:rPr>
          <w:rFonts w:ascii="Times New Roman" w:eastAsia="Times New Roman" w:hAnsi="Times New Roman" w:cs="Times New Roman"/>
          <w:color w:val="555555"/>
          <w:sz w:val="24"/>
          <w:szCs w:val="24"/>
          <w:lang w:eastAsia="fr-FR"/>
        </w:rPr>
        <w:t>Fondé en 2007, Think Music détient un catalogue en constante évolution et à droit perpétuel, constitué de musique de films populaires et de bandes sons de musique indépendante, où l'on retrouve quelques-uns des plus gros succès du cinéma tamoul.</w:t>
      </w:r>
    </w:p>
    <w:p w14:paraId="4C55C3DA" w14:textId="77777777" w:rsidR="002C5341" w:rsidRPr="00DA22CF" w:rsidRDefault="002C5341" w:rsidP="00DA22CF">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DA22CF">
        <w:rPr>
          <w:rFonts w:ascii="Times New Roman" w:eastAsia="Times New Roman" w:hAnsi="Times New Roman" w:cs="Times New Roman"/>
          <w:color w:val="555555"/>
          <w:sz w:val="24"/>
          <w:szCs w:val="24"/>
          <w:lang w:eastAsia="fr-FR"/>
        </w:rPr>
        <w:t>En plus de l'activité d'acquisition et de distribution de musique de films, Think Music est également un pionnier dans la promotion et le lancement de jeunes artistes dans l'industrie musicale. Plus de 40 jeunes compositeurs ont vu leur carrière décoller parmi lesquels Santhosh Narayanan, Ghibran ou encore Hiphop Tamizha.</w:t>
      </w:r>
    </w:p>
    <w:p w14:paraId="396470AF" w14:textId="77777777" w:rsidR="00C57C59" w:rsidRPr="00DA22CF" w:rsidRDefault="00C57C59" w:rsidP="00DA22CF">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4B266F30" w14:textId="77777777" w:rsidR="00855468" w:rsidRPr="00B20B59" w:rsidRDefault="00FB1CAC" w:rsidP="00B20B59">
      <w:pPr>
        <w:pStyle w:val="sc-14kwckt-6"/>
        <w:numPr>
          <w:ilvl w:val="0"/>
          <w:numId w:val="2"/>
        </w:numPr>
        <w:shd w:val="clear" w:color="auto" w:fill="FFFFFF"/>
        <w:spacing w:before="0" w:beforeAutospacing="0" w:after="0" w:afterAutospacing="0"/>
        <w:jc w:val="both"/>
        <w:rPr>
          <w:color w:val="212121"/>
        </w:rPr>
      </w:pPr>
      <w:r w:rsidRPr="00B20B59">
        <w:rPr>
          <w:color w:val="212121"/>
        </w:rPr>
        <w:t>Depuis le début de l'année, </w:t>
      </w:r>
      <w:r w:rsidR="00262E9C" w:rsidRPr="00B20B59">
        <w:rPr>
          <w:color w:val="212121"/>
        </w:rPr>
        <w:t>l’euro s’est déprécié</w:t>
      </w:r>
      <w:r w:rsidRPr="00B20B59">
        <w:rPr>
          <w:color w:val="212121"/>
        </w:rPr>
        <w:t> de 8 % par rapport au dollar. En théorie, cela devrait entraîner une hausse de 2 % environ des exportations de la zone euro. Mais nous ne sommes pas encore revenus à un fonctionnement normal du marché. L'environnement reste perturbé par les </w:t>
      </w:r>
      <w:r w:rsidR="005201BD" w:rsidRPr="00B20B59">
        <w:rPr>
          <w:color w:val="212121"/>
        </w:rPr>
        <w:t>goulots d’étranglement</w:t>
      </w:r>
      <w:r w:rsidRPr="00B20B59">
        <w:rPr>
          <w:color w:val="212121"/>
        </w:rPr>
        <w:t>. Aujourd'hui, le renchérissement des prix des intrants et des matières premières neutralise les effets positifs de la dépréciation de l'euro sur la compétitivité des exportations européennes. In fine, l'impact sur les économies de la zone euro va être mitigé. Les pays qui vont le plus profiter des effets de change sont ceux qui exportent des services comme la France ou l'Italie ou encore l'Espagne et le Portugal. En revanche, l'Allemagne et le Royaume-Uni souffrent des dysfonctionnements liés aux chaînes de valeur.</w:t>
      </w:r>
    </w:p>
    <w:p w14:paraId="4D93CA6B" w14:textId="77777777" w:rsidR="0029468E" w:rsidRPr="00B20B59" w:rsidRDefault="00FB1CAC" w:rsidP="00B20B59">
      <w:pPr>
        <w:pStyle w:val="sc-14kwckt-6"/>
        <w:shd w:val="clear" w:color="auto" w:fill="FFFFFF"/>
        <w:spacing w:before="0" w:beforeAutospacing="0" w:after="0" w:afterAutospacing="0"/>
        <w:ind w:left="720"/>
        <w:jc w:val="both"/>
        <w:rPr>
          <w:color w:val="212121"/>
        </w:rPr>
      </w:pPr>
      <w:r w:rsidRPr="00B20B59">
        <w:rPr>
          <w:color w:val="212121"/>
        </w:rPr>
        <w:t xml:space="preserve">Habituellement, lorsque le billet vert est fort, le prix des matières premières s'ajuste à la baisse. Mais ce n'est pas ce qu'on voit aujourd'hui. Avec le redémarrage vigoureux de l'activité partout dans le monde et les perturbations climatiques, les Etats et les entreprises se sont rués pour reconstituer les stocks. Du coup, le prix des matières premières est au plus haut. Entre autres, le pétrole s'est apprécié de près de 50 % depuis </w:t>
      </w:r>
      <w:r w:rsidRPr="00B20B59">
        <w:rPr>
          <w:color w:val="212121"/>
        </w:rPr>
        <w:lastRenderedPageBreak/>
        <w:t>le début de l'année. Si on ajoute les goulots d'étranglement, les problèmes de transport, deux tiers de l'inflation actuelle sont liés à ces phénomènes qui sont temporaires.</w:t>
      </w:r>
    </w:p>
    <w:p w14:paraId="78619EC1" w14:textId="77777777" w:rsidR="004121CD" w:rsidRPr="00B20B59" w:rsidRDefault="00FB1CAC" w:rsidP="00B20B59">
      <w:pPr>
        <w:pStyle w:val="sc-14kwckt-6"/>
        <w:shd w:val="clear" w:color="auto" w:fill="FFFFFF"/>
        <w:spacing w:before="0" w:beforeAutospacing="0" w:after="0" w:afterAutospacing="0"/>
        <w:ind w:left="720"/>
        <w:jc w:val="both"/>
        <w:rPr>
          <w:color w:val="212121"/>
        </w:rPr>
      </w:pPr>
      <w:r w:rsidRPr="00B20B59">
        <w:rPr>
          <w:color w:val="212121"/>
        </w:rPr>
        <w:t>Euler Hermes anticip</w:t>
      </w:r>
      <w:r w:rsidR="0029468E" w:rsidRPr="00B20B59">
        <w:rPr>
          <w:color w:val="212121"/>
        </w:rPr>
        <w:t>e</w:t>
      </w:r>
      <w:r w:rsidRPr="00B20B59">
        <w:rPr>
          <w:color w:val="212121"/>
        </w:rPr>
        <w:t xml:space="preserve"> une stabilisation des cours du brent autour de 79 dollars en 2022, contre 72 dollars cette année, soit un niveau élevé mais qui reste gérable. </w:t>
      </w:r>
      <w:r w:rsidR="0029468E" w:rsidRPr="00B20B59">
        <w:rPr>
          <w:color w:val="212121"/>
        </w:rPr>
        <w:t>Leurs</w:t>
      </w:r>
      <w:r w:rsidRPr="00B20B59">
        <w:rPr>
          <w:color w:val="212121"/>
        </w:rPr>
        <w:t xml:space="preserve"> prévisions tablent sur une normalisation de la situation au deuxième semestre 2022. Selon </w:t>
      </w:r>
      <w:r w:rsidR="00723C5E" w:rsidRPr="00B20B59">
        <w:rPr>
          <w:color w:val="212121"/>
        </w:rPr>
        <w:t>eux</w:t>
      </w:r>
      <w:r w:rsidRPr="00B20B59">
        <w:rPr>
          <w:color w:val="212121"/>
        </w:rPr>
        <w:t>, les nouveaux chocs d'offre l'an prochain devraient rester sous contrôle, qu'il s'agisse des tensions géopolitiques ou des effets de stocks. De son côté, la demande devrait elle aussi se normaliser. Tout cela devrait converger pour faire retomber les </w:t>
      </w:r>
      <w:r w:rsidR="00723C5E" w:rsidRPr="00B20B59">
        <w:rPr>
          <w:color w:val="212121"/>
        </w:rPr>
        <w:t xml:space="preserve">tensions inflationnistes en Europe, </w:t>
      </w:r>
      <w:r w:rsidRPr="00B20B59">
        <w:rPr>
          <w:color w:val="212121"/>
        </w:rPr>
        <w:t xml:space="preserve">notamment dans un scénario de poches limitées d'inflation sur les salaires, pas généralisée aux services, ce qui est </w:t>
      </w:r>
      <w:r w:rsidR="00723C5E" w:rsidRPr="00B20B59">
        <w:rPr>
          <w:color w:val="212121"/>
        </w:rPr>
        <w:t>leur</w:t>
      </w:r>
      <w:r w:rsidRPr="00B20B59">
        <w:rPr>
          <w:color w:val="212121"/>
        </w:rPr>
        <w:t xml:space="preserve"> scénario central.</w:t>
      </w:r>
    </w:p>
    <w:p w14:paraId="2C168CF0" w14:textId="7916BD1B" w:rsidR="00FB1CAC" w:rsidRPr="00B20B59" w:rsidRDefault="00FB1CAC" w:rsidP="00B20B59">
      <w:pPr>
        <w:pStyle w:val="sc-14kwckt-6"/>
        <w:shd w:val="clear" w:color="auto" w:fill="FFFFFF"/>
        <w:spacing w:before="0" w:beforeAutospacing="0" w:after="0" w:afterAutospacing="0"/>
        <w:ind w:left="720"/>
        <w:jc w:val="both"/>
        <w:rPr>
          <w:color w:val="212121"/>
        </w:rPr>
      </w:pPr>
      <w:r w:rsidRPr="00B20B59">
        <w:rPr>
          <w:color w:val="212121"/>
        </w:rPr>
        <w:t>Il est possible que la reprise de la pandémie provoque à nouveau un report de la demande des services vers les biens manufacturés. Cela peut aussi entraîner des nouvelles perturbations dans les transports. Il faudra en particulier être attentif à ce qui se passe en Chine pendant le Nouvel an chinois.</w:t>
      </w:r>
    </w:p>
    <w:p w14:paraId="36807A9F" w14:textId="77777777" w:rsidR="00D927B1" w:rsidRPr="00B20B59" w:rsidRDefault="00D927B1" w:rsidP="00B20B59">
      <w:pPr>
        <w:pStyle w:val="Paragraphedeliste"/>
        <w:jc w:val="both"/>
        <w:rPr>
          <w:rFonts w:ascii="Times New Roman" w:hAnsi="Times New Roman" w:cs="Times New Roman"/>
          <w:sz w:val="24"/>
          <w:szCs w:val="24"/>
        </w:rPr>
      </w:pPr>
    </w:p>
    <w:p w14:paraId="51849A6C" w14:textId="77777777" w:rsidR="00BC51B9" w:rsidRPr="00BC51B9" w:rsidRDefault="00BC51B9" w:rsidP="00BC51B9">
      <w:pPr>
        <w:pStyle w:val="Paragraphedeliste"/>
        <w:jc w:val="both"/>
        <w:rPr>
          <w:rFonts w:ascii="Times New Roman" w:hAnsi="Times New Roman" w:cs="Times New Roman"/>
          <w:sz w:val="24"/>
          <w:szCs w:val="24"/>
        </w:rPr>
      </w:pPr>
    </w:p>
    <w:p w14:paraId="76BE7B20" w14:textId="575A22F4"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115582">
        <w:rPr>
          <w:rFonts w:ascii="Times New Roman" w:hAnsi="Times New Roman" w:cs="Times New Roman"/>
          <w:b/>
          <w:bCs/>
          <w:sz w:val="28"/>
          <w:szCs w:val="28"/>
        </w:rPr>
        <w:t>30 novembre</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B069C2">
        <w:rPr>
          <w:rFonts w:ascii="Times New Roman" w:hAnsi="Times New Roman" w:cs="Times New Roman"/>
          <w:b/>
          <w:bCs/>
          <w:sz w:val="28"/>
          <w:szCs w:val="28"/>
        </w:rPr>
        <w:t>1</w:t>
      </w:r>
    </w:p>
    <w:p w14:paraId="2AA6AEFC" w14:textId="1768F899" w:rsidR="00B0767A" w:rsidRDefault="003F0176" w:rsidP="003F0176">
      <w:pPr>
        <w:pStyle w:val="NormalWeb"/>
        <w:spacing w:before="0" w:beforeAutospacing="0" w:after="0" w:afterAutospacing="0"/>
        <w:ind w:firstLine="708"/>
      </w:pPr>
      <w:r>
        <w:rPr>
          <w:rStyle w:val="lev"/>
        </w:rPr>
        <w:t xml:space="preserve">Allemagne </w:t>
      </w:r>
      <w:r w:rsidRPr="003F0176">
        <w:rPr>
          <w:b/>
          <w:bCs/>
        </w:rPr>
        <w:t>à 9h55</w:t>
      </w:r>
    </w:p>
    <w:p w14:paraId="5793BCC2" w14:textId="58F3AE0C" w:rsidR="00B0767A" w:rsidRDefault="00B0767A" w:rsidP="003F0176">
      <w:pPr>
        <w:pStyle w:val="NormalWeb"/>
        <w:spacing w:before="0" w:beforeAutospacing="0" w:after="0" w:afterAutospacing="0"/>
        <w:ind w:firstLine="708"/>
      </w:pPr>
      <w:r>
        <w:t xml:space="preserve">Taux de chômage au mois de novembre </w:t>
      </w:r>
    </w:p>
    <w:p w14:paraId="5356CB04" w14:textId="77777777" w:rsidR="003F0176" w:rsidRDefault="003F0176" w:rsidP="003F0176">
      <w:pPr>
        <w:pStyle w:val="NormalWeb"/>
        <w:spacing w:before="0" w:beforeAutospacing="0" w:after="0" w:afterAutospacing="0"/>
        <w:ind w:firstLine="708"/>
      </w:pPr>
    </w:p>
    <w:p w14:paraId="59BD35B1" w14:textId="62BFD03A" w:rsidR="00B0767A" w:rsidRDefault="003F0176" w:rsidP="003F0176">
      <w:pPr>
        <w:pStyle w:val="NormalWeb"/>
        <w:spacing w:before="0" w:beforeAutospacing="0" w:after="0" w:afterAutospacing="0"/>
        <w:ind w:firstLine="708"/>
      </w:pPr>
      <w:r>
        <w:rPr>
          <w:rStyle w:val="lev"/>
        </w:rPr>
        <w:t xml:space="preserve">France </w:t>
      </w:r>
      <w:r w:rsidRPr="003F0176">
        <w:rPr>
          <w:b/>
          <w:bCs/>
        </w:rPr>
        <w:t>à 8h45</w:t>
      </w:r>
    </w:p>
    <w:p w14:paraId="4AC1B1A0" w14:textId="7B451D71" w:rsidR="00B0767A" w:rsidRDefault="00B0767A" w:rsidP="003F0176">
      <w:pPr>
        <w:pStyle w:val="NormalWeb"/>
        <w:spacing w:before="0" w:beforeAutospacing="0" w:after="0" w:afterAutospacing="0"/>
        <w:ind w:firstLine="708"/>
      </w:pPr>
      <w:r>
        <w:t xml:space="preserve">Taux d'inflation préliminaire de novembre </w:t>
      </w:r>
    </w:p>
    <w:p w14:paraId="03C8174D" w14:textId="73A41E47" w:rsidR="00B0767A" w:rsidRDefault="00B0767A" w:rsidP="003F0176">
      <w:pPr>
        <w:pStyle w:val="NormalWeb"/>
        <w:spacing w:before="0" w:beforeAutospacing="0" w:after="0" w:afterAutospacing="0"/>
        <w:ind w:firstLine="708"/>
      </w:pPr>
      <w:r>
        <w:t xml:space="preserve">Croissance du PIB au troisième trimestre </w:t>
      </w:r>
    </w:p>
    <w:p w14:paraId="2E32A616" w14:textId="7A2A887E" w:rsidR="00B0767A" w:rsidRDefault="00B0767A" w:rsidP="003F0176">
      <w:pPr>
        <w:pStyle w:val="NormalWeb"/>
        <w:spacing w:before="0" w:beforeAutospacing="0" w:after="0" w:afterAutospacing="0"/>
        <w:ind w:firstLine="708"/>
      </w:pPr>
      <w:r>
        <w:t xml:space="preserve">Indice des prix à la production en octobre </w:t>
      </w:r>
    </w:p>
    <w:p w14:paraId="67CEC4DF" w14:textId="77777777" w:rsidR="003F0176" w:rsidRDefault="003F0176" w:rsidP="003F0176">
      <w:pPr>
        <w:pStyle w:val="NormalWeb"/>
        <w:spacing w:before="0" w:beforeAutospacing="0" w:after="0" w:afterAutospacing="0"/>
        <w:ind w:firstLine="708"/>
      </w:pPr>
    </w:p>
    <w:p w14:paraId="681A6DE9" w14:textId="435D5154" w:rsidR="00B0767A" w:rsidRDefault="00B0767A" w:rsidP="003F0176">
      <w:pPr>
        <w:pStyle w:val="NormalWeb"/>
        <w:spacing w:before="0" w:beforeAutospacing="0" w:after="0" w:afterAutospacing="0"/>
        <w:ind w:firstLine="708"/>
      </w:pPr>
      <w:r>
        <w:rPr>
          <w:rStyle w:val="lev"/>
        </w:rPr>
        <w:t>Zone euro</w:t>
      </w:r>
      <w:r w:rsidR="003F0176">
        <w:rPr>
          <w:rStyle w:val="lev"/>
        </w:rPr>
        <w:t xml:space="preserve"> </w:t>
      </w:r>
      <w:r w:rsidR="003F0176" w:rsidRPr="003F0176">
        <w:rPr>
          <w:b/>
          <w:bCs/>
        </w:rPr>
        <w:t>à 11h00</w:t>
      </w:r>
    </w:p>
    <w:p w14:paraId="58F76E44" w14:textId="52512B49" w:rsidR="00B0767A" w:rsidRDefault="00B0767A" w:rsidP="003F0176">
      <w:pPr>
        <w:pStyle w:val="NormalWeb"/>
        <w:spacing w:before="0" w:beforeAutospacing="0" w:after="0" w:afterAutospacing="0"/>
        <w:ind w:firstLine="708"/>
      </w:pPr>
      <w:r>
        <w:t xml:space="preserve">Inflation au mois de novembre </w:t>
      </w:r>
    </w:p>
    <w:p w14:paraId="3F115E7F" w14:textId="77777777" w:rsidR="003F0176" w:rsidRDefault="003F0176" w:rsidP="003F0176">
      <w:pPr>
        <w:pStyle w:val="NormalWeb"/>
        <w:spacing w:before="0" w:beforeAutospacing="0" w:after="0" w:afterAutospacing="0"/>
        <w:ind w:firstLine="708"/>
      </w:pPr>
    </w:p>
    <w:p w14:paraId="274E12C0" w14:textId="77777777" w:rsidR="00B0767A" w:rsidRDefault="00B0767A" w:rsidP="003F0176">
      <w:pPr>
        <w:pStyle w:val="NormalWeb"/>
        <w:spacing w:before="0" w:beforeAutospacing="0" w:after="0" w:afterAutospacing="0"/>
        <w:ind w:firstLine="708"/>
      </w:pPr>
      <w:r>
        <w:rPr>
          <w:rStyle w:val="lev"/>
        </w:rPr>
        <w:t>Etats-Unis</w:t>
      </w:r>
    </w:p>
    <w:p w14:paraId="793226BD" w14:textId="582719F4" w:rsidR="00B0767A" w:rsidRDefault="00730E9E" w:rsidP="003F0176">
      <w:pPr>
        <w:pStyle w:val="NormalWeb"/>
        <w:spacing w:before="0" w:beforeAutospacing="0" w:after="0" w:afterAutospacing="0"/>
        <w:ind w:firstLine="708"/>
      </w:pPr>
      <w:r>
        <w:rPr>
          <w:b/>
          <w:bCs/>
        </w:rPr>
        <w:t>à</w:t>
      </w:r>
      <w:r w:rsidR="003F0176" w:rsidRPr="003F0176">
        <w:rPr>
          <w:b/>
          <w:bCs/>
        </w:rPr>
        <w:t xml:space="preserve"> 15h00</w:t>
      </w:r>
      <w:r w:rsidR="003F0176">
        <w:t xml:space="preserve"> </w:t>
      </w:r>
      <w:r w:rsidR="00B0767A">
        <w:t xml:space="preserve">Indice des prix immobiliers S&amp;P/Case-Shiller de septembre </w:t>
      </w:r>
    </w:p>
    <w:p w14:paraId="14051C72" w14:textId="0CBCE5F2" w:rsidR="00B0767A" w:rsidRDefault="00730E9E" w:rsidP="003F0176">
      <w:pPr>
        <w:pStyle w:val="NormalWeb"/>
        <w:spacing w:before="0" w:beforeAutospacing="0" w:after="0" w:afterAutospacing="0"/>
        <w:ind w:firstLine="708"/>
      </w:pPr>
      <w:r>
        <w:rPr>
          <w:b/>
          <w:bCs/>
        </w:rPr>
        <w:t>à</w:t>
      </w:r>
      <w:r w:rsidR="003F0176" w:rsidRPr="003F0176">
        <w:rPr>
          <w:b/>
          <w:bCs/>
        </w:rPr>
        <w:t xml:space="preserve"> 15h45</w:t>
      </w:r>
      <w:r w:rsidR="003F0176">
        <w:t xml:space="preserve"> </w:t>
      </w:r>
      <w:r w:rsidR="00B0767A">
        <w:t xml:space="preserve">Indice des directeurs d'achat de la région de Chicago en novembre </w:t>
      </w:r>
    </w:p>
    <w:p w14:paraId="2320F797" w14:textId="11BF4CB1" w:rsidR="00B0767A" w:rsidRDefault="00730E9E" w:rsidP="003F0176">
      <w:pPr>
        <w:pStyle w:val="NormalWeb"/>
        <w:spacing w:before="0" w:beforeAutospacing="0" w:after="0" w:afterAutospacing="0"/>
        <w:ind w:firstLine="708"/>
      </w:pPr>
      <w:r>
        <w:rPr>
          <w:b/>
          <w:bCs/>
        </w:rPr>
        <w:t>à</w:t>
      </w:r>
      <w:r w:rsidR="003F0176" w:rsidRPr="003F0176">
        <w:rPr>
          <w:b/>
          <w:bCs/>
        </w:rPr>
        <w:t xml:space="preserve"> 16h00</w:t>
      </w:r>
      <w:r w:rsidR="003F0176">
        <w:t xml:space="preserve"> </w:t>
      </w:r>
      <w:r w:rsidR="00B0767A">
        <w:t xml:space="preserve">Audition du président de la Fed, Jerome Powell </w:t>
      </w:r>
    </w:p>
    <w:p w14:paraId="42C71BD8" w14:textId="41DE7F44" w:rsidR="00B0767A" w:rsidRDefault="008D49EA" w:rsidP="003F0176">
      <w:pPr>
        <w:pStyle w:val="NormalWeb"/>
        <w:spacing w:before="0" w:beforeAutospacing="0" w:after="0" w:afterAutospacing="0"/>
        <w:ind w:left="1416"/>
      </w:pPr>
      <w:r>
        <w:t xml:space="preserve">  </w:t>
      </w:r>
      <w:r w:rsidR="00B0767A">
        <w:t xml:space="preserve">Confiance des consommateurs du Conference Board en novembre </w:t>
      </w:r>
      <w:r w:rsidR="003F0176">
        <w:t xml:space="preserve"> </w:t>
      </w:r>
    </w:p>
    <w:p w14:paraId="245C74CC" w14:textId="77777777" w:rsidR="002539F4" w:rsidRPr="00B0767A" w:rsidRDefault="002539F4" w:rsidP="003F0176">
      <w:pPr>
        <w:spacing w:after="0"/>
        <w:rPr>
          <w:rFonts w:ascii="Times New Roman" w:hAnsi="Times New Roman" w:cs="Times New Roman"/>
          <w:sz w:val="28"/>
          <w:szCs w:val="28"/>
        </w:rPr>
      </w:pPr>
    </w:p>
    <w:sectPr w:rsidR="002539F4" w:rsidRPr="00B076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457D2"/>
    <w:rsid w:val="00076DC9"/>
    <w:rsid w:val="00095FB6"/>
    <w:rsid w:val="000F56B0"/>
    <w:rsid w:val="001070E7"/>
    <w:rsid w:val="001119B0"/>
    <w:rsid w:val="00113CA2"/>
    <w:rsid w:val="00115582"/>
    <w:rsid w:val="00154A6F"/>
    <w:rsid w:val="00184438"/>
    <w:rsid w:val="001A335C"/>
    <w:rsid w:val="001B24C4"/>
    <w:rsid w:val="001E7353"/>
    <w:rsid w:val="002119DB"/>
    <w:rsid w:val="00232AAD"/>
    <w:rsid w:val="00245F8A"/>
    <w:rsid w:val="00250F2A"/>
    <w:rsid w:val="00252C56"/>
    <w:rsid w:val="002539F4"/>
    <w:rsid w:val="00261D12"/>
    <w:rsid w:val="00262E9C"/>
    <w:rsid w:val="00281D2C"/>
    <w:rsid w:val="0029468E"/>
    <w:rsid w:val="002B30C3"/>
    <w:rsid w:val="002C5341"/>
    <w:rsid w:val="0031150B"/>
    <w:rsid w:val="0034098E"/>
    <w:rsid w:val="00342926"/>
    <w:rsid w:val="00377F70"/>
    <w:rsid w:val="00382693"/>
    <w:rsid w:val="003905BF"/>
    <w:rsid w:val="00393437"/>
    <w:rsid w:val="003A5FF6"/>
    <w:rsid w:val="003A6AA7"/>
    <w:rsid w:val="003D0DEC"/>
    <w:rsid w:val="003F0176"/>
    <w:rsid w:val="004111E9"/>
    <w:rsid w:val="004121CD"/>
    <w:rsid w:val="0042017D"/>
    <w:rsid w:val="00420F90"/>
    <w:rsid w:val="0042309E"/>
    <w:rsid w:val="00425CE9"/>
    <w:rsid w:val="0043748E"/>
    <w:rsid w:val="004A4172"/>
    <w:rsid w:val="004D246E"/>
    <w:rsid w:val="004E602C"/>
    <w:rsid w:val="00501573"/>
    <w:rsid w:val="00514936"/>
    <w:rsid w:val="005201BD"/>
    <w:rsid w:val="00523B44"/>
    <w:rsid w:val="0052452F"/>
    <w:rsid w:val="0052668B"/>
    <w:rsid w:val="00536FF0"/>
    <w:rsid w:val="0053796F"/>
    <w:rsid w:val="00587070"/>
    <w:rsid w:val="0058796B"/>
    <w:rsid w:val="00592518"/>
    <w:rsid w:val="005A4299"/>
    <w:rsid w:val="005B21A9"/>
    <w:rsid w:val="005F1191"/>
    <w:rsid w:val="00643302"/>
    <w:rsid w:val="0065405E"/>
    <w:rsid w:val="00662C34"/>
    <w:rsid w:val="00666D40"/>
    <w:rsid w:val="006E1AFE"/>
    <w:rsid w:val="00723C5E"/>
    <w:rsid w:val="00730E9E"/>
    <w:rsid w:val="007311E1"/>
    <w:rsid w:val="00750611"/>
    <w:rsid w:val="00767E2D"/>
    <w:rsid w:val="00774252"/>
    <w:rsid w:val="007A1184"/>
    <w:rsid w:val="007B5872"/>
    <w:rsid w:val="007C0DFB"/>
    <w:rsid w:val="007E1A9B"/>
    <w:rsid w:val="007E4776"/>
    <w:rsid w:val="007F710C"/>
    <w:rsid w:val="00845B07"/>
    <w:rsid w:val="008545BC"/>
    <w:rsid w:val="00855468"/>
    <w:rsid w:val="008559E1"/>
    <w:rsid w:val="008D49EA"/>
    <w:rsid w:val="0090180A"/>
    <w:rsid w:val="00904808"/>
    <w:rsid w:val="00923F26"/>
    <w:rsid w:val="009343BE"/>
    <w:rsid w:val="0093521B"/>
    <w:rsid w:val="00962D6B"/>
    <w:rsid w:val="00972B8B"/>
    <w:rsid w:val="00973F0B"/>
    <w:rsid w:val="00995449"/>
    <w:rsid w:val="00995A0B"/>
    <w:rsid w:val="009967C8"/>
    <w:rsid w:val="00997CAB"/>
    <w:rsid w:val="00A14AAE"/>
    <w:rsid w:val="00A63730"/>
    <w:rsid w:val="00A752C8"/>
    <w:rsid w:val="00A95749"/>
    <w:rsid w:val="00AA35BF"/>
    <w:rsid w:val="00AB111E"/>
    <w:rsid w:val="00AC4A8C"/>
    <w:rsid w:val="00AE4C61"/>
    <w:rsid w:val="00AE583A"/>
    <w:rsid w:val="00B069C2"/>
    <w:rsid w:val="00B0767A"/>
    <w:rsid w:val="00B20B59"/>
    <w:rsid w:val="00B3726B"/>
    <w:rsid w:val="00B62141"/>
    <w:rsid w:val="00BB5130"/>
    <w:rsid w:val="00BC51B9"/>
    <w:rsid w:val="00C0408A"/>
    <w:rsid w:val="00C04554"/>
    <w:rsid w:val="00C12973"/>
    <w:rsid w:val="00C1699B"/>
    <w:rsid w:val="00C30549"/>
    <w:rsid w:val="00C45089"/>
    <w:rsid w:val="00C45F11"/>
    <w:rsid w:val="00C563E7"/>
    <w:rsid w:val="00C57C59"/>
    <w:rsid w:val="00C92368"/>
    <w:rsid w:val="00C935F2"/>
    <w:rsid w:val="00CE2A19"/>
    <w:rsid w:val="00CF7DE6"/>
    <w:rsid w:val="00D10B12"/>
    <w:rsid w:val="00D11D81"/>
    <w:rsid w:val="00D73964"/>
    <w:rsid w:val="00D773DB"/>
    <w:rsid w:val="00D84A99"/>
    <w:rsid w:val="00D927B1"/>
    <w:rsid w:val="00DA22CF"/>
    <w:rsid w:val="00E1589C"/>
    <w:rsid w:val="00E45027"/>
    <w:rsid w:val="00E50E97"/>
    <w:rsid w:val="00E57F64"/>
    <w:rsid w:val="00E94C51"/>
    <w:rsid w:val="00E976CD"/>
    <w:rsid w:val="00EA596F"/>
    <w:rsid w:val="00F05A79"/>
    <w:rsid w:val="00F374E7"/>
    <w:rsid w:val="00F431CC"/>
    <w:rsid w:val="00F46F6E"/>
    <w:rsid w:val="00F66F96"/>
    <w:rsid w:val="00F8139D"/>
    <w:rsid w:val="00FB1CAC"/>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paragraph" w:customStyle="1" w:styleId="sc-14kwckt-6">
    <w:name w:val="sc-14kwckt-6"/>
    <w:basedOn w:val="Normal"/>
    <w:rsid w:val="00FB1CA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FB1C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32451013">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43878619">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09618771">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62193108">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525704430">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48185764">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02473335">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66152946">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1992906525">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4</Pages>
  <Words>1777</Words>
  <Characters>9777</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29</cp:revision>
  <dcterms:created xsi:type="dcterms:W3CDTF">2021-11-29T19:35:00Z</dcterms:created>
  <dcterms:modified xsi:type="dcterms:W3CDTF">2021-11-29T22:10:00Z</dcterms:modified>
</cp:coreProperties>
</file>