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8AE63" w14:textId="761DC922" w:rsidR="00342926" w:rsidRPr="00342926" w:rsidRDefault="00342926" w:rsidP="00377F70">
      <w:pPr>
        <w:jc w:val="center"/>
        <w:rPr>
          <w:rFonts w:ascii="Times New Roman" w:hAnsi="Times New Roman" w:cs="Times New Roman"/>
        </w:rPr>
      </w:pPr>
      <w:r w:rsidRPr="00342926">
        <w:rPr>
          <w:rFonts w:ascii="Times New Roman" w:hAnsi="Times New Roman" w:cs="Times New Roman"/>
          <w:sz w:val="28"/>
          <w:szCs w:val="28"/>
        </w:rPr>
        <w:t xml:space="preserve">INFOS </w:t>
      </w:r>
      <w:r w:rsidR="00261D12" w:rsidRPr="00342926">
        <w:rPr>
          <w:rFonts w:ascii="Times New Roman" w:hAnsi="Times New Roman" w:cs="Times New Roman"/>
          <w:sz w:val="28"/>
          <w:szCs w:val="28"/>
        </w:rPr>
        <w:t xml:space="preserve">NEWS </w:t>
      </w:r>
      <w:r w:rsidRPr="00342926">
        <w:rPr>
          <w:rFonts w:ascii="Times New Roman" w:hAnsi="Times New Roman" w:cs="Times New Roman"/>
          <w:sz w:val="28"/>
          <w:szCs w:val="28"/>
        </w:rPr>
        <w:t>INFOS NEWS INFOS NEWS INFOS NEWS INFOS NEWS</w:t>
      </w:r>
    </w:p>
    <w:p w14:paraId="3014A958" w14:textId="77777777" w:rsidR="00BC51B9" w:rsidRPr="00342926" w:rsidRDefault="00BC51B9">
      <w:pPr>
        <w:rPr>
          <w:rFonts w:ascii="Times New Roman" w:hAnsi="Times New Roman" w:cs="Times New Roman"/>
        </w:rPr>
      </w:pPr>
    </w:p>
    <w:p w14:paraId="4D7E444B" w14:textId="4488061E" w:rsidR="008559E1" w:rsidRPr="001A335C" w:rsidRDefault="00342926" w:rsidP="00342926">
      <w:pPr>
        <w:jc w:val="center"/>
        <w:rPr>
          <w:rFonts w:ascii="Times New Roman" w:hAnsi="Times New Roman" w:cs="Times New Roman"/>
          <w:b/>
          <w:bCs/>
          <w:sz w:val="28"/>
          <w:szCs w:val="28"/>
        </w:rPr>
      </w:pPr>
      <w:r w:rsidRPr="001A335C">
        <w:rPr>
          <w:rFonts w:ascii="Times New Roman" w:hAnsi="Times New Roman" w:cs="Times New Roman"/>
          <w:b/>
          <w:bCs/>
          <w:sz w:val="28"/>
          <w:szCs w:val="28"/>
        </w:rPr>
        <w:t>J</w:t>
      </w:r>
      <w:r w:rsidR="00261D12" w:rsidRPr="001A335C">
        <w:rPr>
          <w:rFonts w:ascii="Times New Roman" w:hAnsi="Times New Roman" w:cs="Times New Roman"/>
          <w:b/>
          <w:bCs/>
          <w:sz w:val="28"/>
          <w:szCs w:val="28"/>
        </w:rPr>
        <w:t xml:space="preserve">ournée du </w:t>
      </w:r>
      <w:r w:rsidR="00916A68">
        <w:rPr>
          <w:rFonts w:ascii="Times New Roman" w:hAnsi="Times New Roman" w:cs="Times New Roman"/>
          <w:b/>
          <w:bCs/>
          <w:sz w:val="28"/>
          <w:szCs w:val="28"/>
        </w:rPr>
        <w:t>20 décembre</w:t>
      </w:r>
      <w:r w:rsidR="00252C56">
        <w:rPr>
          <w:rFonts w:ascii="Times New Roman" w:hAnsi="Times New Roman" w:cs="Times New Roman"/>
          <w:b/>
          <w:bCs/>
          <w:sz w:val="28"/>
          <w:szCs w:val="28"/>
        </w:rPr>
        <w:t xml:space="preserve"> 2021</w:t>
      </w:r>
    </w:p>
    <w:p w14:paraId="378D3133" w14:textId="77777777" w:rsidR="00250F2A" w:rsidRPr="00342926" w:rsidRDefault="00250F2A" w:rsidP="00536FF0">
      <w:pPr>
        <w:jc w:val="both"/>
        <w:rPr>
          <w:rFonts w:ascii="Times New Roman" w:hAnsi="Times New Roman" w:cs="Times New Roman"/>
        </w:rPr>
      </w:pPr>
    </w:p>
    <w:p w14:paraId="7B50E293" w14:textId="77777777" w:rsidR="009343BE" w:rsidRPr="00C57C59" w:rsidRDefault="009343BE" w:rsidP="00C57C59">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4C266A34" w14:textId="77777777" w:rsidR="008715DE" w:rsidRPr="0043212F" w:rsidRDefault="00B51DDA" w:rsidP="0043212F">
      <w:pPr>
        <w:pStyle w:val="Paragraphedeliste"/>
        <w:numPr>
          <w:ilvl w:val="0"/>
          <w:numId w:val="1"/>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43212F">
        <w:rPr>
          <w:rFonts w:ascii="Times New Roman" w:hAnsi="Times New Roman" w:cs="Times New Roman"/>
          <w:color w:val="333333"/>
          <w:sz w:val="24"/>
          <w:szCs w:val="24"/>
          <w:shd w:val="clear" w:color="auto" w:fill="FFFFFF"/>
        </w:rPr>
        <w:t xml:space="preserve">Omicron sera-t-il le Grinch qui volera la fête de Noël cette année ? Redoutant de revivre le scénario du printemps 2020, les investisseurs asiatiques, européens et américains ont procédé à de massifs dégagements en Bourse, ce lundi. </w:t>
      </w:r>
    </w:p>
    <w:p w14:paraId="012804AE" w14:textId="77777777" w:rsidR="008715DE" w:rsidRPr="00916A68" w:rsidRDefault="008715DE" w:rsidP="0043212F">
      <w:pPr>
        <w:pStyle w:val="Paragraphedeliste"/>
        <w:numPr>
          <w:ilvl w:val="0"/>
          <w:numId w:val="1"/>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43212F">
        <w:rPr>
          <w:rFonts w:ascii="Times New Roman" w:hAnsi="Times New Roman" w:cs="Times New Roman"/>
          <w:color w:val="333333"/>
          <w:sz w:val="24"/>
          <w:szCs w:val="24"/>
          <w:shd w:val="clear" w:color="auto" w:fill="FFFFFF"/>
        </w:rPr>
        <w:t>Outre-Atlantique, le </w:t>
      </w:r>
      <w:r w:rsidRPr="00916A68">
        <w:rPr>
          <w:rFonts w:ascii="Times New Roman" w:hAnsi="Times New Roman" w:cs="Times New Roman"/>
          <w:color w:val="333333"/>
          <w:sz w:val="24"/>
          <w:szCs w:val="24"/>
          <w:shd w:val="clear" w:color="auto" w:fill="FFFFFF"/>
        </w:rPr>
        <w:t>Dow Jones et le Nasdaq Composite plient de 1,8%.</w:t>
      </w:r>
      <w:r w:rsidRPr="00916A68">
        <w:rPr>
          <w:rFonts w:ascii="Times New Roman" w:hAnsi="Times New Roman" w:cs="Times New Roman"/>
          <w:color w:val="464646"/>
          <w:sz w:val="24"/>
          <w:szCs w:val="24"/>
          <w:shd w:val="clear" w:color="auto" w:fill="FFFFFF"/>
        </w:rPr>
        <w:t xml:space="preserve"> </w:t>
      </w:r>
    </w:p>
    <w:p w14:paraId="37E0BB0B" w14:textId="0F0EF700" w:rsidR="001B20B5" w:rsidRPr="0043212F" w:rsidRDefault="00B51DDA" w:rsidP="0043212F">
      <w:pPr>
        <w:pStyle w:val="Paragraphedeliste"/>
        <w:numPr>
          <w:ilvl w:val="0"/>
          <w:numId w:val="1"/>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916A68">
        <w:rPr>
          <w:rFonts w:ascii="Times New Roman" w:hAnsi="Times New Roman" w:cs="Times New Roman"/>
          <w:color w:val="333333"/>
          <w:sz w:val="24"/>
          <w:szCs w:val="24"/>
          <w:shd w:val="clear" w:color="auto" w:fill="FFFFFF"/>
        </w:rPr>
        <w:t>En repli de 1,12% vendredi, le Cac 40</w:t>
      </w:r>
      <w:r w:rsidRPr="0043212F">
        <w:rPr>
          <w:rFonts w:ascii="Times New Roman" w:hAnsi="Times New Roman" w:cs="Times New Roman"/>
          <w:color w:val="333333"/>
          <w:sz w:val="24"/>
          <w:szCs w:val="24"/>
          <w:shd w:val="clear" w:color="auto" w:fill="FFFFFF"/>
        </w:rPr>
        <w:t> a encore perdu 0,82%, à 6.870,10 points, dans un gros volume de transactions de 4 milliards d’euros. Au plus-bas du jour, l’indice parisien est même tombé à 6.747,69 points</w:t>
      </w:r>
      <w:r w:rsidR="001B20B5" w:rsidRPr="0043212F">
        <w:rPr>
          <w:rFonts w:ascii="Times New Roman" w:hAnsi="Times New Roman" w:cs="Times New Roman"/>
          <w:color w:val="333333"/>
          <w:sz w:val="24"/>
          <w:szCs w:val="24"/>
          <w:shd w:val="clear" w:color="auto" w:fill="FFFFFF"/>
        </w:rPr>
        <w:t>.</w:t>
      </w:r>
    </w:p>
    <w:p w14:paraId="6E22B46D" w14:textId="77777777" w:rsidR="009343BE" w:rsidRPr="0043212F" w:rsidRDefault="009343BE" w:rsidP="0043212F">
      <w:pPr>
        <w:pStyle w:val="Paragraphedeliste"/>
        <w:jc w:val="both"/>
        <w:rPr>
          <w:rFonts w:ascii="Times New Roman" w:eastAsia="Times New Roman" w:hAnsi="Times New Roman" w:cs="Times New Roman"/>
          <w:color w:val="464646"/>
          <w:sz w:val="24"/>
          <w:szCs w:val="24"/>
          <w:lang w:eastAsia="fr-FR"/>
        </w:rPr>
      </w:pPr>
    </w:p>
    <w:p w14:paraId="74B3553E" w14:textId="77777777" w:rsidR="00D93B55" w:rsidRPr="0043212F" w:rsidRDefault="00C24D2D" w:rsidP="0043212F">
      <w:pPr>
        <w:pStyle w:val="Paragraphedeliste"/>
        <w:numPr>
          <w:ilvl w:val="0"/>
          <w:numId w:val="1"/>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43212F">
        <w:rPr>
          <w:rFonts w:ascii="Times New Roman" w:hAnsi="Times New Roman" w:cs="Times New Roman"/>
          <w:color w:val="333333"/>
          <w:sz w:val="24"/>
          <w:szCs w:val="24"/>
          <w:shd w:val="clear" w:color="auto" w:fill="FFFFFF"/>
        </w:rPr>
        <w:t>Consciente que la reprise sera sous contrainte, </w:t>
      </w:r>
      <w:r w:rsidR="00BD1913" w:rsidRPr="0043212F">
        <w:rPr>
          <w:rFonts w:ascii="Times New Roman" w:hAnsi="Times New Roman" w:cs="Times New Roman"/>
          <w:color w:val="333333"/>
          <w:sz w:val="24"/>
          <w:szCs w:val="24"/>
          <w:shd w:val="clear" w:color="auto" w:fill="FFFFFF"/>
        </w:rPr>
        <w:t>la Banque de France a ajusté sa prévision de croissance pour 2022</w:t>
      </w:r>
      <w:r w:rsidRPr="0043212F">
        <w:rPr>
          <w:rFonts w:ascii="Times New Roman" w:hAnsi="Times New Roman" w:cs="Times New Roman"/>
          <w:color w:val="333333"/>
          <w:sz w:val="24"/>
          <w:szCs w:val="24"/>
          <w:shd w:val="clear" w:color="auto" w:fill="FFFFFF"/>
        </w:rPr>
        <w:t xml:space="preserve">, anticipant désormais une hausse du produit intérieur brut de 3,6%, contre 3,7% précédemment et 6,7% en 2021. Un chiffre plus prudent que les 4% avancés par le gouvernement, mais il s’agit de l’hypothèse centrale. Le scénario noir repose sur une hausse du PIB de seulement 2,2 % en 2022, assortie d’un fort rebond en 2023, estimé à 3,6 %. </w:t>
      </w:r>
    </w:p>
    <w:p w14:paraId="1EDA10D4" w14:textId="77777777" w:rsidR="00D93B55" w:rsidRPr="0043212F" w:rsidRDefault="00D93B55" w:rsidP="0043212F">
      <w:pPr>
        <w:pStyle w:val="Paragraphedeliste"/>
        <w:jc w:val="both"/>
        <w:rPr>
          <w:rFonts w:ascii="Times New Roman" w:hAnsi="Times New Roman" w:cs="Times New Roman"/>
          <w:color w:val="333333"/>
          <w:sz w:val="24"/>
          <w:szCs w:val="24"/>
          <w:shd w:val="clear" w:color="auto" w:fill="FFFFFF"/>
        </w:rPr>
      </w:pPr>
    </w:p>
    <w:p w14:paraId="133F9681" w14:textId="60038937" w:rsidR="00232AAD" w:rsidRPr="0043212F" w:rsidRDefault="00C24D2D" w:rsidP="0043212F">
      <w:pPr>
        <w:pStyle w:val="Paragraphedeliste"/>
        <w:numPr>
          <w:ilvl w:val="0"/>
          <w:numId w:val="1"/>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43212F">
        <w:rPr>
          <w:rFonts w:ascii="Times New Roman" w:hAnsi="Times New Roman" w:cs="Times New Roman"/>
          <w:color w:val="333333"/>
          <w:sz w:val="24"/>
          <w:szCs w:val="24"/>
          <w:shd w:val="clear" w:color="auto" w:fill="FFFFFF"/>
        </w:rPr>
        <w:t>Outre-Atlantique, </w:t>
      </w:r>
      <w:r w:rsidR="008715DE" w:rsidRPr="0043212F">
        <w:rPr>
          <w:rFonts w:ascii="Times New Roman" w:hAnsi="Times New Roman" w:cs="Times New Roman"/>
          <w:color w:val="333333"/>
          <w:sz w:val="24"/>
          <w:szCs w:val="24"/>
          <w:shd w:val="clear" w:color="auto" w:fill="FFFFFF"/>
        </w:rPr>
        <w:t>Goldman Sachs a également ressorti sa calculatrice, revoyant à la baisse ses anticipations de croissance pour 2022</w:t>
      </w:r>
      <w:r w:rsidR="007C1C13" w:rsidRPr="0043212F">
        <w:rPr>
          <w:rFonts w:ascii="Times New Roman" w:hAnsi="Times New Roman" w:cs="Times New Roman"/>
          <w:color w:val="333333"/>
          <w:sz w:val="24"/>
          <w:szCs w:val="24"/>
          <w:shd w:val="clear" w:color="auto" w:fill="FFFFFF"/>
        </w:rPr>
        <w:t xml:space="preserve">, </w:t>
      </w:r>
      <w:hyperlink r:id="rId5" w:history="1"/>
      <w:r w:rsidRPr="0043212F">
        <w:rPr>
          <w:rFonts w:ascii="Times New Roman" w:hAnsi="Times New Roman" w:cs="Times New Roman"/>
          <w:color w:val="333333"/>
          <w:sz w:val="24"/>
          <w:szCs w:val="24"/>
          <w:shd w:val="clear" w:color="auto" w:fill="FFFFFF"/>
        </w:rPr>
        <w:t>après que le sénateur démocrate Joe Manchin a annoncé qu'il n'apportera pas son soutien au projet de loi des dépenses sociales de 1.750 milliards de dollars de </w:t>
      </w:r>
      <w:r w:rsidR="007C1C13" w:rsidRPr="0043212F">
        <w:rPr>
          <w:rFonts w:ascii="Times New Roman" w:hAnsi="Times New Roman" w:cs="Times New Roman"/>
          <w:color w:val="333333"/>
          <w:sz w:val="24"/>
          <w:szCs w:val="24"/>
          <w:shd w:val="clear" w:color="auto" w:fill="FFFFFF"/>
        </w:rPr>
        <w:t>Joe Biden</w:t>
      </w:r>
      <w:r w:rsidRPr="0043212F">
        <w:rPr>
          <w:rFonts w:ascii="Times New Roman" w:hAnsi="Times New Roman" w:cs="Times New Roman"/>
          <w:color w:val="333333"/>
          <w:sz w:val="24"/>
          <w:szCs w:val="24"/>
          <w:shd w:val="clear" w:color="auto" w:fill="FFFFFF"/>
        </w:rPr>
        <w:t>. « </w:t>
      </w:r>
      <w:r w:rsidRPr="0043212F">
        <w:rPr>
          <w:rFonts w:ascii="Times New Roman" w:hAnsi="Times New Roman" w:cs="Times New Roman"/>
          <w:i/>
          <w:iCs/>
          <w:color w:val="333333"/>
          <w:sz w:val="24"/>
          <w:szCs w:val="24"/>
          <w:shd w:val="clear" w:color="auto" w:fill="FFFFFF"/>
        </w:rPr>
        <w:t>Nous nous attendions déjà à une impulsion budgétaire défavorable pour 2022 en raison de l'affaiblissement du soutien contre le Covid-19 apporté en 2020 et en 2021 et sans la promulgation du 'BBB', cette impulsion budgétaire deviendra un peu plus défavorable que prévu</w:t>
      </w:r>
      <w:r w:rsidRPr="0043212F">
        <w:rPr>
          <w:rFonts w:ascii="Times New Roman" w:hAnsi="Times New Roman" w:cs="Times New Roman"/>
          <w:color w:val="333333"/>
          <w:sz w:val="24"/>
          <w:szCs w:val="24"/>
          <w:shd w:val="clear" w:color="auto" w:fill="FFFFFF"/>
        </w:rPr>
        <w:t> », a écrit Jan Hatzius, analyste de Goldman Sachs dans une note datée de dimanche. Il table sur une hausse du PIB de 2% au premier trimestre 2022, contre 3% jusqu’à présent.</w:t>
      </w:r>
      <w:r w:rsidR="00CE2A19" w:rsidRPr="0043212F">
        <w:rPr>
          <w:rFonts w:ascii="Times New Roman" w:eastAsia="Times New Roman" w:hAnsi="Times New Roman" w:cs="Times New Roman"/>
          <w:color w:val="464646"/>
          <w:sz w:val="24"/>
          <w:szCs w:val="24"/>
          <w:lang w:eastAsia="fr-FR"/>
        </w:rPr>
        <w:t xml:space="preserve"> </w:t>
      </w:r>
    </w:p>
    <w:p w14:paraId="4C3409A9" w14:textId="77777777" w:rsidR="00CE2A19" w:rsidRPr="00CE2A19" w:rsidRDefault="00CE2A19" w:rsidP="00CE2A19">
      <w:pPr>
        <w:pStyle w:val="Paragraphedeliste"/>
        <w:rPr>
          <w:rFonts w:ascii="Times New Roman" w:eastAsia="Times New Roman" w:hAnsi="Times New Roman" w:cs="Times New Roman"/>
          <w:color w:val="464646"/>
          <w:sz w:val="24"/>
          <w:szCs w:val="24"/>
          <w:lang w:eastAsia="fr-FR"/>
        </w:rPr>
      </w:pPr>
    </w:p>
    <w:p w14:paraId="77CDAD54" w14:textId="6B8E8063" w:rsidR="00261D12" w:rsidRPr="00D927B1" w:rsidRDefault="00261D12" w:rsidP="00D927B1">
      <w:pPr>
        <w:shd w:val="clear" w:color="auto" w:fill="FFFFFF"/>
        <w:spacing w:after="150" w:line="240" w:lineRule="auto"/>
        <w:ind w:left="360"/>
        <w:jc w:val="both"/>
        <w:textAlignment w:val="baseline"/>
        <w:rPr>
          <w:rFonts w:ascii="Times New Roman" w:hAnsi="Times New Roman" w:cs="Times New Roman"/>
          <w:b/>
          <w:bCs/>
          <w:sz w:val="28"/>
          <w:szCs w:val="28"/>
        </w:rPr>
      </w:pPr>
      <w:r w:rsidRPr="00D927B1">
        <w:rPr>
          <w:rFonts w:ascii="Times New Roman" w:hAnsi="Times New Roman" w:cs="Times New Roman"/>
          <w:b/>
          <w:bCs/>
          <w:sz w:val="28"/>
          <w:szCs w:val="28"/>
        </w:rPr>
        <w:t>SOCIETES</w:t>
      </w:r>
    </w:p>
    <w:p w14:paraId="2CC857C3" w14:textId="2C57D9A6" w:rsidR="00C45089" w:rsidRPr="0043212F" w:rsidRDefault="00383C44" w:rsidP="00017651">
      <w:pPr>
        <w:pStyle w:val="Paragraphedeliste"/>
        <w:numPr>
          <w:ilvl w:val="0"/>
          <w:numId w:val="2"/>
        </w:numPr>
        <w:shd w:val="clear" w:color="auto" w:fill="FFFFFF"/>
        <w:spacing w:after="0" w:line="240" w:lineRule="auto"/>
        <w:jc w:val="both"/>
        <w:textAlignment w:val="baseline"/>
        <w:rPr>
          <w:rFonts w:ascii="Times New Roman" w:eastAsia="Times New Roman" w:hAnsi="Times New Roman" w:cs="Times New Roman"/>
          <w:color w:val="464646"/>
          <w:sz w:val="24"/>
          <w:szCs w:val="24"/>
          <w:lang w:eastAsia="fr-FR"/>
        </w:rPr>
      </w:pPr>
      <w:r w:rsidRPr="0043212F">
        <w:rPr>
          <w:rFonts w:ascii="Times New Roman" w:hAnsi="Times New Roman" w:cs="Times New Roman"/>
          <w:color w:val="333333"/>
          <w:sz w:val="24"/>
          <w:szCs w:val="24"/>
          <w:shd w:val="clear" w:color="auto" w:fill="FFFFFF"/>
        </w:rPr>
        <w:t>Assez logiquement, les valeurs du transport et du tourisme ont trinqué, à l’image d’Air France-KLM (-0,97%). La foncière commerciale Unibail-Rodamco-Westfield a également été sous pression, terminant en repli de 2,37%. Idem pour Klépierre et Gecina. Quelques rares valeurs ont fini en hausse, comme le numéro un mondial de la bioanalyse Eurofins Scientific (+2,59%).</w:t>
      </w:r>
      <w:r w:rsidR="00CE2A19" w:rsidRPr="0043212F">
        <w:rPr>
          <w:rFonts w:ascii="Times New Roman" w:eastAsia="Times New Roman" w:hAnsi="Times New Roman" w:cs="Times New Roman"/>
          <w:color w:val="464646"/>
          <w:sz w:val="24"/>
          <w:szCs w:val="24"/>
          <w:lang w:eastAsia="fr-FR"/>
        </w:rPr>
        <w:t xml:space="preserve"> </w:t>
      </w:r>
    </w:p>
    <w:p w14:paraId="6BA8F366" w14:textId="77777777" w:rsidR="00C92368" w:rsidRPr="0043212F" w:rsidRDefault="00C92368" w:rsidP="00017651">
      <w:pPr>
        <w:pStyle w:val="Paragraphedeliste"/>
        <w:shd w:val="clear" w:color="auto" w:fill="FFFFFF"/>
        <w:spacing w:after="0" w:line="240" w:lineRule="auto"/>
        <w:jc w:val="both"/>
        <w:textAlignment w:val="baseline"/>
        <w:rPr>
          <w:rFonts w:ascii="Times New Roman" w:eastAsia="Times New Roman" w:hAnsi="Times New Roman" w:cs="Times New Roman"/>
          <w:color w:val="464646"/>
          <w:sz w:val="24"/>
          <w:szCs w:val="24"/>
          <w:lang w:eastAsia="fr-FR"/>
        </w:rPr>
      </w:pPr>
    </w:p>
    <w:p w14:paraId="634466CB" w14:textId="56C6088F" w:rsidR="001756F3" w:rsidRPr="0043212F" w:rsidRDefault="001756F3" w:rsidP="00017651">
      <w:pPr>
        <w:pStyle w:val="Paragraphedeliste"/>
        <w:numPr>
          <w:ilvl w:val="0"/>
          <w:numId w:val="2"/>
        </w:numPr>
        <w:shd w:val="clear" w:color="auto" w:fill="FFFFFF"/>
        <w:spacing w:before="180" w:after="0" w:line="240" w:lineRule="auto"/>
        <w:jc w:val="both"/>
        <w:rPr>
          <w:rFonts w:ascii="Times New Roman" w:eastAsia="Times New Roman" w:hAnsi="Times New Roman" w:cs="Times New Roman"/>
          <w:color w:val="333333"/>
          <w:sz w:val="24"/>
          <w:szCs w:val="24"/>
          <w:lang w:eastAsia="fr-FR"/>
        </w:rPr>
      </w:pPr>
      <w:r w:rsidRPr="0043212F">
        <w:rPr>
          <w:rFonts w:ascii="Times New Roman" w:eastAsia="Times New Roman" w:hAnsi="Times New Roman" w:cs="Times New Roman"/>
          <w:color w:val="333333"/>
          <w:sz w:val="24"/>
          <w:szCs w:val="24"/>
          <w:lang w:eastAsia="fr-FR"/>
        </w:rPr>
        <w:t>BNP Paribas a gagné 0,45%. L’établissement va céder à la Banque de Montréal sa filiale Bank of the West, qui opère ses activités de banque commerciale aux </w:t>
      </w:r>
      <w:r w:rsidR="007C1C13" w:rsidRPr="0043212F">
        <w:rPr>
          <w:rFonts w:ascii="Times New Roman" w:eastAsia="Times New Roman" w:hAnsi="Times New Roman" w:cs="Times New Roman"/>
          <w:color w:val="333333"/>
          <w:sz w:val="24"/>
          <w:szCs w:val="24"/>
          <w:lang w:eastAsia="fr-FR"/>
        </w:rPr>
        <w:t>Etat</w:t>
      </w:r>
      <w:r w:rsidR="00F34FAD" w:rsidRPr="0043212F">
        <w:rPr>
          <w:rFonts w:ascii="Times New Roman" w:eastAsia="Times New Roman" w:hAnsi="Times New Roman" w:cs="Times New Roman"/>
          <w:color w:val="333333"/>
          <w:sz w:val="24"/>
          <w:szCs w:val="24"/>
          <w:lang w:eastAsia="fr-FR"/>
        </w:rPr>
        <w:t>s-Unis</w:t>
      </w:r>
      <w:r w:rsidRPr="0043212F">
        <w:rPr>
          <w:rFonts w:ascii="Times New Roman" w:eastAsia="Times New Roman" w:hAnsi="Times New Roman" w:cs="Times New Roman"/>
          <w:color w:val="333333"/>
          <w:sz w:val="24"/>
          <w:szCs w:val="24"/>
          <w:lang w:eastAsia="fr-FR"/>
        </w:rPr>
        <w:t>, pour un montant, supérieur aux attentes, de 16,3 milliards de dollars, soit environ 14,5 milliards d'euros.</w:t>
      </w:r>
    </w:p>
    <w:p w14:paraId="1BC4E800" w14:textId="77777777" w:rsidR="00F34FAD" w:rsidRPr="0043212F" w:rsidRDefault="00F34FAD" w:rsidP="00017651">
      <w:pPr>
        <w:pStyle w:val="Paragraphedeliste"/>
        <w:shd w:val="clear" w:color="auto" w:fill="FFFFFF"/>
        <w:spacing w:before="180" w:after="0" w:line="240" w:lineRule="auto"/>
        <w:jc w:val="both"/>
        <w:rPr>
          <w:rFonts w:ascii="Times New Roman" w:eastAsia="Times New Roman" w:hAnsi="Times New Roman" w:cs="Times New Roman"/>
          <w:color w:val="333333"/>
          <w:sz w:val="24"/>
          <w:szCs w:val="24"/>
          <w:lang w:eastAsia="fr-FR"/>
        </w:rPr>
      </w:pPr>
    </w:p>
    <w:p w14:paraId="52286844" w14:textId="7E15A8CB" w:rsidR="001756F3" w:rsidRPr="0043212F" w:rsidRDefault="001756F3" w:rsidP="00017651">
      <w:pPr>
        <w:pStyle w:val="Paragraphedeliste"/>
        <w:numPr>
          <w:ilvl w:val="0"/>
          <w:numId w:val="2"/>
        </w:numPr>
        <w:shd w:val="clear" w:color="auto" w:fill="FFFFFF"/>
        <w:spacing w:before="180" w:after="0" w:line="240" w:lineRule="auto"/>
        <w:jc w:val="both"/>
        <w:rPr>
          <w:rFonts w:ascii="Times New Roman" w:eastAsia="Times New Roman" w:hAnsi="Times New Roman" w:cs="Times New Roman"/>
          <w:color w:val="333333"/>
          <w:sz w:val="24"/>
          <w:szCs w:val="24"/>
          <w:lang w:eastAsia="fr-FR"/>
        </w:rPr>
      </w:pPr>
      <w:r w:rsidRPr="0043212F">
        <w:rPr>
          <w:rFonts w:ascii="Times New Roman" w:eastAsia="Times New Roman" w:hAnsi="Times New Roman" w:cs="Times New Roman"/>
          <w:color w:val="333333"/>
          <w:sz w:val="24"/>
          <w:szCs w:val="24"/>
          <w:lang w:eastAsia="fr-FR"/>
        </w:rPr>
        <w:t>Ipsen a encore lâché 7,36% après le feu vert de l'autorité de santé américaine à la commercialisation </w:t>
      </w:r>
      <w:r w:rsidR="00F34FAD" w:rsidRPr="0043212F">
        <w:rPr>
          <w:rFonts w:ascii="Times New Roman" w:eastAsia="Times New Roman" w:hAnsi="Times New Roman" w:cs="Times New Roman"/>
          <w:color w:val="333333"/>
          <w:sz w:val="24"/>
          <w:szCs w:val="24"/>
          <w:lang w:eastAsia="fr-FR"/>
        </w:rPr>
        <w:t>par le laboratoire indien Cipla de son traitement</w:t>
      </w:r>
      <w:r w:rsidR="000479E3" w:rsidRPr="0043212F">
        <w:rPr>
          <w:rFonts w:ascii="Times New Roman" w:eastAsia="Times New Roman" w:hAnsi="Times New Roman" w:cs="Times New Roman"/>
          <w:color w:val="333333"/>
          <w:sz w:val="24"/>
          <w:szCs w:val="24"/>
          <w:lang w:eastAsia="fr-FR"/>
        </w:rPr>
        <w:t xml:space="preserve"> lanréotide, un générique du Somatuline</w:t>
      </w:r>
      <w:r w:rsidRPr="0043212F">
        <w:rPr>
          <w:rFonts w:ascii="Times New Roman" w:eastAsia="Times New Roman" w:hAnsi="Times New Roman" w:cs="Times New Roman"/>
          <w:color w:val="333333"/>
          <w:sz w:val="24"/>
          <w:szCs w:val="24"/>
          <w:lang w:eastAsia="fr-FR"/>
        </w:rPr>
        <w:t>, produit phare du groupe français.</w:t>
      </w:r>
    </w:p>
    <w:p w14:paraId="396470AF" w14:textId="77777777" w:rsidR="00C57C59" w:rsidRPr="00C57C59" w:rsidRDefault="00C57C59" w:rsidP="00C57C59">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5CBAEB44" w14:textId="1A6D96BD" w:rsidR="00377F70" w:rsidRPr="00D927B1" w:rsidRDefault="00377F70" w:rsidP="00D927B1">
      <w:pPr>
        <w:pStyle w:val="NormalWeb"/>
        <w:shd w:val="clear" w:color="auto" w:fill="FFFFFF"/>
        <w:spacing w:before="0" w:beforeAutospacing="0" w:after="150" w:afterAutospacing="0"/>
        <w:ind w:left="360"/>
        <w:jc w:val="both"/>
        <w:textAlignment w:val="baseline"/>
        <w:rPr>
          <w:b/>
          <w:bCs/>
          <w:sz w:val="28"/>
          <w:szCs w:val="28"/>
        </w:rPr>
      </w:pPr>
      <w:r w:rsidRPr="00D927B1">
        <w:rPr>
          <w:b/>
          <w:bCs/>
          <w:sz w:val="28"/>
          <w:szCs w:val="28"/>
        </w:rPr>
        <w:lastRenderedPageBreak/>
        <w:t>ANALYSES</w:t>
      </w:r>
    </w:p>
    <w:p w14:paraId="6D5A1B94" w14:textId="77777777" w:rsidR="00370494" w:rsidRPr="00BD1913" w:rsidRDefault="00002D60" w:rsidP="00BD1913">
      <w:pPr>
        <w:pStyle w:val="sc-14kwckt-6"/>
        <w:numPr>
          <w:ilvl w:val="0"/>
          <w:numId w:val="2"/>
        </w:numPr>
        <w:shd w:val="clear" w:color="auto" w:fill="FFFFFF"/>
        <w:spacing w:before="0" w:beforeAutospacing="0" w:after="0" w:afterAutospacing="0"/>
        <w:jc w:val="both"/>
        <w:rPr>
          <w:color w:val="212121"/>
        </w:rPr>
      </w:pPr>
      <w:r w:rsidRPr="00BD1913">
        <w:rPr>
          <w:color w:val="212121"/>
        </w:rPr>
        <w:t>Les statistiques dévoilées mercredi matin par l'Insee confirment bien la dynamique d'après-crise, mais montrent aussi le poids de l'ubérisation de l'économie. Selon l'institut, le nombre total d'entreprises créées sur les douze derniers mois a « augmenté fortement », avec une hausse de 19 %, en données brutes. Une grande part de cette progression tient aux créations d'entreprise sous le </w:t>
      </w:r>
      <w:r w:rsidR="00370494" w:rsidRPr="00BD1913">
        <w:rPr>
          <w:color w:val="212121"/>
        </w:rPr>
        <w:t>régime de microentrepreneur</w:t>
      </w:r>
      <w:r w:rsidRPr="00BD1913">
        <w:rPr>
          <w:color w:val="212121"/>
        </w:rPr>
        <w:t> (qui intègre notamment les </w:t>
      </w:r>
      <w:r w:rsidR="00370494" w:rsidRPr="00BD1913">
        <w:rPr>
          <w:color w:val="212121"/>
        </w:rPr>
        <w:t>livreurs</w:t>
      </w:r>
      <w:r w:rsidRPr="00BD1913">
        <w:rPr>
          <w:color w:val="212121"/>
        </w:rPr>
        <w:t>), dont la hausse s'élève à 18,3 %.</w:t>
      </w:r>
    </w:p>
    <w:p w14:paraId="2CFC24C3" w14:textId="77777777" w:rsidR="00370494" w:rsidRPr="00BD1913" w:rsidRDefault="00002D60" w:rsidP="00BD1913">
      <w:pPr>
        <w:pStyle w:val="sc-14kwckt-6"/>
        <w:shd w:val="clear" w:color="auto" w:fill="FFFFFF"/>
        <w:spacing w:before="0" w:beforeAutospacing="0" w:after="0" w:afterAutospacing="0"/>
        <w:ind w:left="720"/>
        <w:jc w:val="both"/>
        <w:rPr>
          <w:color w:val="212121"/>
        </w:rPr>
      </w:pPr>
      <w:r w:rsidRPr="00BD1913">
        <w:rPr>
          <w:color w:val="212121"/>
        </w:rPr>
        <w:t>Les créations sous forme de sociétés ont aussi nettement augmenté (+26,7 %). L'Insee note que la hausse des créations est en revanche moins marquée (+3,4 %) pour les entreprises individuelles classiques.</w:t>
      </w:r>
    </w:p>
    <w:p w14:paraId="4A854DCD" w14:textId="77777777" w:rsidR="00BD1913" w:rsidRPr="00BD1913" w:rsidRDefault="00002D60" w:rsidP="00BD1913">
      <w:pPr>
        <w:pStyle w:val="sc-14kwckt-6"/>
        <w:shd w:val="clear" w:color="auto" w:fill="FFFFFF"/>
        <w:spacing w:before="0" w:beforeAutospacing="0" w:after="0" w:afterAutospacing="0"/>
        <w:ind w:left="720"/>
        <w:jc w:val="both"/>
        <w:rPr>
          <w:color w:val="212121"/>
        </w:rPr>
      </w:pPr>
      <w:r w:rsidRPr="00BD1913">
        <w:rPr>
          <w:color w:val="212121"/>
        </w:rPr>
        <w:t>Les secteurs qui ont été les plus dynamiques sur un an sont la finance et l'assurance (+33,4 %), mais aussi le transport et l'entreposage (+31,5 %), qui comprend notamment l'activité </w:t>
      </w:r>
      <w:r w:rsidR="00370494" w:rsidRPr="00BD1913">
        <w:rPr>
          <w:color w:val="212121"/>
        </w:rPr>
        <w:t>des plateformes de li</w:t>
      </w:r>
      <w:r w:rsidR="00BD1913" w:rsidRPr="00BD1913">
        <w:rPr>
          <w:color w:val="212121"/>
        </w:rPr>
        <w:t>vraison</w:t>
      </w:r>
      <w:r w:rsidRPr="00BD1913">
        <w:rPr>
          <w:color w:val="212121"/>
        </w:rPr>
        <w:t>. La hausse des entreprises dans les services aux ménages a, quant à elle, atteint 26,6 %.</w:t>
      </w:r>
    </w:p>
    <w:p w14:paraId="753337C1" w14:textId="77777777" w:rsidR="00BD1913" w:rsidRPr="00BD1913" w:rsidRDefault="00002D60" w:rsidP="00BD1913">
      <w:pPr>
        <w:pStyle w:val="sc-14kwckt-6"/>
        <w:shd w:val="clear" w:color="auto" w:fill="FFFFFF"/>
        <w:spacing w:before="0" w:beforeAutospacing="0" w:after="0" w:afterAutospacing="0"/>
        <w:ind w:left="720"/>
        <w:jc w:val="both"/>
        <w:rPr>
          <w:color w:val="212121"/>
        </w:rPr>
      </w:pPr>
      <w:r w:rsidRPr="00BD1913">
        <w:rPr>
          <w:color w:val="212121"/>
        </w:rPr>
        <w:t>Ce rebond général est, comme pour la croissance du PIB (attendue à plus de 6,5 % désormais), essentiellement lié à un effet de rattrapage. L'Insee l'explique par le « niveau particulièrement bas des créations pendant le premier confinement en 2020 ».</w:t>
      </w:r>
    </w:p>
    <w:p w14:paraId="5D68E63A" w14:textId="77777777" w:rsidR="00BD1913" w:rsidRPr="00BD1913" w:rsidRDefault="00002D60" w:rsidP="00BD1913">
      <w:pPr>
        <w:pStyle w:val="sc-14kwckt-6"/>
        <w:shd w:val="clear" w:color="auto" w:fill="FFFFFF"/>
        <w:spacing w:before="0" w:beforeAutospacing="0" w:after="0" w:afterAutospacing="0"/>
        <w:ind w:left="720"/>
        <w:jc w:val="both"/>
        <w:rPr>
          <w:color w:val="212121"/>
        </w:rPr>
      </w:pPr>
      <w:r w:rsidRPr="00BD1913">
        <w:rPr>
          <w:color w:val="212121"/>
        </w:rPr>
        <w:t>Depuis le début de l'année 2021, l'institut de statistiques a dénombré 915.454 entreprises nouvelles en France, soit un nouveau record annuel après un millésime 2020 déjà exceptionnel. Un peu moins des deux tiers des entreprises créées l'ont été sous le régime des microentrepreneurs, près de 27% sous la forme de sociétés et plus de 8% sous celles d'entreprises individuelles classiques.</w:t>
      </w:r>
    </w:p>
    <w:p w14:paraId="5280D9D3" w14:textId="77777777" w:rsidR="00BD1913" w:rsidRPr="00BD1913" w:rsidRDefault="00002D60" w:rsidP="00BD1913">
      <w:pPr>
        <w:pStyle w:val="sc-14kwckt-6"/>
        <w:shd w:val="clear" w:color="auto" w:fill="FFFFFF"/>
        <w:spacing w:before="0" w:beforeAutospacing="0" w:after="0" w:afterAutospacing="0"/>
        <w:ind w:left="720"/>
        <w:jc w:val="both"/>
        <w:rPr>
          <w:color w:val="212121"/>
        </w:rPr>
      </w:pPr>
      <w:r w:rsidRPr="00BD1913">
        <w:rPr>
          <w:color w:val="212121"/>
        </w:rPr>
        <w:t>Le mois de novembre marque toutefois un ralentissement. Le nombre total de créations tous types d'entreprises confondus se replie de 3,5 %, après une hausse de 6,7 % en octobre. Dans le détail, les immatriculations de microentrepreneurs reculent plus nettement (- 4,9 % après +8,1 %) que les créations d'entreprises classiques (- 1,0 % après +4,3 %).</w:t>
      </w:r>
    </w:p>
    <w:p w14:paraId="68F480E0" w14:textId="77777777" w:rsidR="00BD1913" w:rsidRPr="00BD1913" w:rsidRDefault="00002D60" w:rsidP="00BD1913">
      <w:pPr>
        <w:pStyle w:val="sc-14kwckt-6"/>
        <w:shd w:val="clear" w:color="auto" w:fill="FFFFFF"/>
        <w:spacing w:before="0" w:beforeAutospacing="0" w:after="0" w:afterAutospacing="0"/>
        <w:ind w:left="720"/>
        <w:jc w:val="both"/>
        <w:rPr>
          <w:color w:val="212121"/>
        </w:rPr>
      </w:pPr>
      <w:r w:rsidRPr="00BD1913">
        <w:rPr>
          <w:color w:val="212121"/>
        </w:rPr>
        <w:t>Les secteurs les plus touchés au cours du mois de novembre ? L'Insee relève un repli significatif dans le soutien aux entreprises (- 4,4 %) et dans </w:t>
      </w:r>
      <w:r w:rsidR="00BD1913" w:rsidRPr="00BD1913">
        <w:rPr>
          <w:color w:val="212121"/>
        </w:rPr>
        <w:t>l’enseignement</w:t>
      </w:r>
      <w:r w:rsidRPr="00BD1913">
        <w:rPr>
          <w:color w:val="212121"/>
        </w:rPr>
        <w:t> santé, action sociale (- 4,8 %).</w:t>
      </w:r>
    </w:p>
    <w:p w14:paraId="081DD65D" w14:textId="6F1A8F33" w:rsidR="00002D60" w:rsidRPr="00BD1913" w:rsidRDefault="00002D60" w:rsidP="00BD1913">
      <w:pPr>
        <w:pStyle w:val="sc-14kwckt-6"/>
        <w:shd w:val="clear" w:color="auto" w:fill="FFFFFF"/>
        <w:spacing w:before="0" w:beforeAutospacing="0" w:after="0" w:afterAutospacing="0"/>
        <w:ind w:left="720"/>
        <w:jc w:val="both"/>
        <w:rPr>
          <w:color w:val="212121"/>
        </w:rPr>
      </w:pPr>
      <w:r w:rsidRPr="00BD1913">
        <w:rPr>
          <w:color w:val="212121"/>
        </w:rPr>
        <w:t>Les statistiques témoignent aussi d'une baisse des créations sur les trois derniers mois (tous secteurs confondus) de 3,3 %, par rapport aux trois mois précédents. Elle est due aux services de livraison.</w:t>
      </w:r>
    </w:p>
    <w:p w14:paraId="36807A9F" w14:textId="77777777" w:rsidR="00D927B1" w:rsidRPr="00C57C59" w:rsidRDefault="00D927B1" w:rsidP="004A4172">
      <w:pPr>
        <w:pStyle w:val="Paragraphedeliste"/>
        <w:jc w:val="both"/>
        <w:rPr>
          <w:rFonts w:ascii="Times New Roman" w:hAnsi="Times New Roman" w:cs="Times New Roman"/>
          <w:sz w:val="24"/>
          <w:szCs w:val="24"/>
        </w:rPr>
      </w:pPr>
    </w:p>
    <w:p w14:paraId="51849A6C" w14:textId="77777777" w:rsidR="00BC51B9" w:rsidRPr="00BC51B9" w:rsidRDefault="00BC51B9" w:rsidP="00BC51B9">
      <w:pPr>
        <w:pStyle w:val="Paragraphedeliste"/>
        <w:jc w:val="both"/>
        <w:rPr>
          <w:rFonts w:ascii="Times New Roman" w:hAnsi="Times New Roman" w:cs="Times New Roman"/>
          <w:sz w:val="24"/>
          <w:szCs w:val="24"/>
        </w:rPr>
      </w:pPr>
    </w:p>
    <w:p w14:paraId="76BE7B20" w14:textId="0F7F5C0E" w:rsidR="00261D12" w:rsidRDefault="00261D12" w:rsidP="001A335C">
      <w:pPr>
        <w:jc w:val="center"/>
        <w:rPr>
          <w:rFonts w:ascii="Times New Roman" w:hAnsi="Times New Roman" w:cs="Times New Roman"/>
          <w:b/>
          <w:bCs/>
          <w:sz w:val="28"/>
          <w:szCs w:val="28"/>
        </w:rPr>
      </w:pPr>
      <w:r w:rsidRPr="001A335C">
        <w:rPr>
          <w:rFonts w:ascii="Times New Roman" w:hAnsi="Times New Roman" w:cs="Times New Roman"/>
          <w:b/>
          <w:bCs/>
          <w:sz w:val="28"/>
          <w:szCs w:val="28"/>
        </w:rPr>
        <w:t xml:space="preserve">L’AGENDA DU </w:t>
      </w:r>
      <w:r w:rsidR="00DD6F8F">
        <w:rPr>
          <w:rFonts w:ascii="Times New Roman" w:hAnsi="Times New Roman" w:cs="Times New Roman"/>
          <w:b/>
          <w:bCs/>
          <w:sz w:val="28"/>
          <w:szCs w:val="28"/>
        </w:rPr>
        <w:t>21 décembre</w:t>
      </w:r>
      <w:r w:rsidR="00CE2A19">
        <w:rPr>
          <w:rFonts w:ascii="Times New Roman" w:hAnsi="Times New Roman" w:cs="Times New Roman"/>
          <w:b/>
          <w:bCs/>
          <w:sz w:val="28"/>
          <w:szCs w:val="28"/>
        </w:rPr>
        <w:t xml:space="preserve"> </w:t>
      </w:r>
      <w:r w:rsidR="00342926" w:rsidRPr="001A335C">
        <w:rPr>
          <w:rFonts w:ascii="Times New Roman" w:hAnsi="Times New Roman" w:cs="Times New Roman"/>
          <w:b/>
          <w:bCs/>
          <w:sz w:val="28"/>
          <w:szCs w:val="28"/>
        </w:rPr>
        <w:t>202</w:t>
      </w:r>
      <w:r w:rsidR="00B069C2">
        <w:rPr>
          <w:rFonts w:ascii="Times New Roman" w:hAnsi="Times New Roman" w:cs="Times New Roman"/>
          <w:b/>
          <w:bCs/>
          <w:sz w:val="28"/>
          <w:szCs w:val="28"/>
        </w:rPr>
        <w:t>1</w:t>
      </w:r>
    </w:p>
    <w:p w14:paraId="4840375B" w14:textId="68DB09CC" w:rsidR="006448E7" w:rsidRPr="006448E7" w:rsidRDefault="006448E7" w:rsidP="004370AC">
      <w:pPr>
        <w:spacing w:after="0" w:line="240" w:lineRule="auto"/>
        <w:ind w:firstLine="708"/>
        <w:rPr>
          <w:rFonts w:ascii="Times New Roman" w:eastAsia="Times New Roman" w:hAnsi="Times New Roman" w:cs="Times New Roman"/>
          <w:sz w:val="24"/>
          <w:szCs w:val="24"/>
          <w:lang w:eastAsia="fr-FR"/>
        </w:rPr>
      </w:pPr>
      <w:r w:rsidRPr="006448E7">
        <w:rPr>
          <w:rFonts w:ascii="Times New Roman" w:eastAsia="Times New Roman" w:hAnsi="Times New Roman" w:cs="Times New Roman"/>
          <w:b/>
          <w:bCs/>
          <w:color w:val="333333"/>
          <w:sz w:val="24"/>
          <w:szCs w:val="24"/>
          <w:shd w:val="clear" w:color="auto" w:fill="FFFFFF"/>
          <w:lang w:eastAsia="fr-FR"/>
        </w:rPr>
        <w:t>8h00 en Allemagne</w:t>
      </w:r>
    </w:p>
    <w:p w14:paraId="6298896E" w14:textId="77777777" w:rsidR="006448E7" w:rsidRPr="006448E7" w:rsidRDefault="006448E7" w:rsidP="00DD6F8F">
      <w:pPr>
        <w:shd w:val="clear" w:color="auto" w:fill="FFFFFF"/>
        <w:spacing w:after="0" w:line="240" w:lineRule="auto"/>
        <w:ind w:left="708"/>
        <w:rPr>
          <w:rFonts w:ascii="Times New Roman" w:eastAsia="Times New Roman" w:hAnsi="Times New Roman" w:cs="Times New Roman"/>
          <w:color w:val="333333"/>
          <w:sz w:val="24"/>
          <w:szCs w:val="24"/>
          <w:lang w:eastAsia="fr-FR"/>
        </w:rPr>
      </w:pPr>
      <w:r w:rsidRPr="006448E7">
        <w:rPr>
          <w:rFonts w:ascii="Times New Roman" w:eastAsia="Times New Roman" w:hAnsi="Times New Roman" w:cs="Times New Roman"/>
          <w:color w:val="333333"/>
          <w:sz w:val="24"/>
          <w:szCs w:val="24"/>
          <w:lang w:eastAsia="fr-FR"/>
        </w:rPr>
        <w:t>Confiance des consommateurs en janvier</w:t>
      </w:r>
      <w:r w:rsidRPr="006448E7">
        <w:rPr>
          <w:rFonts w:ascii="Times New Roman" w:eastAsia="Times New Roman" w:hAnsi="Times New Roman" w:cs="Times New Roman"/>
          <w:color w:val="333333"/>
          <w:sz w:val="24"/>
          <w:szCs w:val="24"/>
          <w:lang w:eastAsia="fr-FR"/>
        </w:rPr>
        <w:br/>
      </w:r>
      <w:r w:rsidRPr="006448E7">
        <w:rPr>
          <w:rFonts w:ascii="Times New Roman" w:eastAsia="Times New Roman" w:hAnsi="Times New Roman" w:cs="Times New Roman"/>
          <w:color w:val="333333"/>
          <w:sz w:val="24"/>
          <w:szCs w:val="24"/>
          <w:lang w:eastAsia="fr-FR"/>
        </w:rPr>
        <w:br/>
      </w:r>
      <w:r w:rsidRPr="006448E7">
        <w:rPr>
          <w:rFonts w:ascii="Times New Roman" w:eastAsia="Times New Roman" w:hAnsi="Times New Roman" w:cs="Times New Roman"/>
          <w:b/>
          <w:bCs/>
          <w:color w:val="333333"/>
          <w:sz w:val="24"/>
          <w:szCs w:val="24"/>
          <w:lang w:eastAsia="fr-FR"/>
        </w:rPr>
        <w:t>16h00 en zone euro</w:t>
      </w:r>
    </w:p>
    <w:p w14:paraId="245C74CC" w14:textId="3EE16884" w:rsidR="002539F4" w:rsidRPr="004370AC" w:rsidRDefault="004370AC" w:rsidP="00DD6F8F">
      <w:pPr>
        <w:spacing w:after="0"/>
        <w:ind w:firstLine="708"/>
        <w:rPr>
          <w:rFonts w:ascii="Times New Roman" w:hAnsi="Times New Roman" w:cs="Times New Roman"/>
          <w:sz w:val="24"/>
          <w:szCs w:val="24"/>
        </w:rPr>
      </w:pPr>
      <w:r w:rsidRPr="004370AC">
        <w:rPr>
          <w:rFonts w:ascii="Times New Roman" w:hAnsi="Times New Roman" w:cs="Times New Roman"/>
          <w:color w:val="333333"/>
          <w:sz w:val="24"/>
          <w:szCs w:val="24"/>
          <w:shd w:val="clear" w:color="auto" w:fill="FFFFFF"/>
        </w:rPr>
        <w:t>Confiance des consommateurs en décembre</w:t>
      </w:r>
    </w:p>
    <w:sectPr w:rsidR="002539F4" w:rsidRPr="004370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4B6CBF"/>
    <w:multiLevelType w:val="hybridMultilevel"/>
    <w:tmpl w:val="C4A0D87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4F903E6"/>
    <w:multiLevelType w:val="hybridMultilevel"/>
    <w:tmpl w:val="CFD268BA"/>
    <w:lvl w:ilvl="0" w:tplc="040C000D">
      <w:start w:val="1"/>
      <w:numFmt w:val="bullet"/>
      <w:lvlText w:val=""/>
      <w:lvlJc w:val="left"/>
      <w:pPr>
        <w:ind w:left="720" w:hanging="360"/>
      </w:pPr>
      <w:rPr>
        <w:rFonts w:ascii="Wingdings" w:hAnsi="Wingdings" w:hint="default"/>
      </w:rPr>
    </w:lvl>
    <w:lvl w:ilvl="1" w:tplc="040C000B">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3D52302"/>
    <w:multiLevelType w:val="hybridMultilevel"/>
    <w:tmpl w:val="60CA8FB0"/>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76D234F3"/>
    <w:multiLevelType w:val="hybridMultilevel"/>
    <w:tmpl w:val="2556AEE0"/>
    <w:lvl w:ilvl="0" w:tplc="040C000B">
      <w:start w:val="1"/>
      <w:numFmt w:val="bullet"/>
      <w:lvlText w:val=""/>
      <w:lvlJc w:val="left"/>
      <w:pPr>
        <w:ind w:left="1500" w:hanging="360"/>
      </w:pPr>
      <w:rPr>
        <w:rFonts w:ascii="Wingdings" w:hAnsi="Wingdings" w:hint="default"/>
      </w:rPr>
    </w:lvl>
    <w:lvl w:ilvl="1" w:tplc="040C0003" w:tentative="1">
      <w:start w:val="1"/>
      <w:numFmt w:val="bullet"/>
      <w:lvlText w:val="o"/>
      <w:lvlJc w:val="left"/>
      <w:pPr>
        <w:ind w:left="2220" w:hanging="360"/>
      </w:pPr>
      <w:rPr>
        <w:rFonts w:ascii="Courier New" w:hAnsi="Courier New" w:cs="Courier New" w:hint="default"/>
      </w:rPr>
    </w:lvl>
    <w:lvl w:ilvl="2" w:tplc="040C0005" w:tentative="1">
      <w:start w:val="1"/>
      <w:numFmt w:val="bullet"/>
      <w:lvlText w:val=""/>
      <w:lvlJc w:val="left"/>
      <w:pPr>
        <w:ind w:left="2940" w:hanging="360"/>
      </w:pPr>
      <w:rPr>
        <w:rFonts w:ascii="Wingdings" w:hAnsi="Wingdings" w:hint="default"/>
      </w:rPr>
    </w:lvl>
    <w:lvl w:ilvl="3" w:tplc="040C0001" w:tentative="1">
      <w:start w:val="1"/>
      <w:numFmt w:val="bullet"/>
      <w:lvlText w:val=""/>
      <w:lvlJc w:val="left"/>
      <w:pPr>
        <w:ind w:left="3660" w:hanging="360"/>
      </w:pPr>
      <w:rPr>
        <w:rFonts w:ascii="Symbol" w:hAnsi="Symbol" w:hint="default"/>
      </w:rPr>
    </w:lvl>
    <w:lvl w:ilvl="4" w:tplc="040C0003" w:tentative="1">
      <w:start w:val="1"/>
      <w:numFmt w:val="bullet"/>
      <w:lvlText w:val="o"/>
      <w:lvlJc w:val="left"/>
      <w:pPr>
        <w:ind w:left="4380" w:hanging="360"/>
      </w:pPr>
      <w:rPr>
        <w:rFonts w:ascii="Courier New" w:hAnsi="Courier New" w:cs="Courier New" w:hint="default"/>
      </w:rPr>
    </w:lvl>
    <w:lvl w:ilvl="5" w:tplc="040C0005" w:tentative="1">
      <w:start w:val="1"/>
      <w:numFmt w:val="bullet"/>
      <w:lvlText w:val=""/>
      <w:lvlJc w:val="left"/>
      <w:pPr>
        <w:ind w:left="5100" w:hanging="360"/>
      </w:pPr>
      <w:rPr>
        <w:rFonts w:ascii="Wingdings" w:hAnsi="Wingdings" w:hint="default"/>
      </w:rPr>
    </w:lvl>
    <w:lvl w:ilvl="6" w:tplc="040C0001" w:tentative="1">
      <w:start w:val="1"/>
      <w:numFmt w:val="bullet"/>
      <w:lvlText w:val=""/>
      <w:lvlJc w:val="left"/>
      <w:pPr>
        <w:ind w:left="5820" w:hanging="360"/>
      </w:pPr>
      <w:rPr>
        <w:rFonts w:ascii="Symbol" w:hAnsi="Symbol" w:hint="default"/>
      </w:rPr>
    </w:lvl>
    <w:lvl w:ilvl="7" w:tplc="040C0003" w:tentative="1">
      <w:start w:val="1"/>
      <w:numFmt w:val="bullet"/>
      <w:lvlText w:val="o"/>
      <w:lvlJc w:val="left"/>
      <w:pPr>
        <w:ind w:left="6540" w:hanging="360"/>
      </w:pPr>
      <w:rPr>
        <w:rFonts w:ascii="Courier New" w:hAnsi="Courier New" w:cs="Courier New" w:hint="default"/>
      </w:rPr>
    </w:lvl>
    <w:lvl w:ilvl="8" w:tplc="040C0005" w:tentative="1">
      <w:start w:val="1"/>
      <w:numFmt w:val="bullet"/>
      <w:lvlText w:val=""/>
      <w:lvlJc w:val="left"/>
      <w:pPr>
        <w:ind w:left="7260" w:hanging="360"/>
      </w:pPr>
      <w:rPr>
        <w:rFonts w:ascii="Wingdings" w:hAnsi="Wingdings" w:hint="default"/>
      </w:rPr>
    </w:lvl>
  </w:abstractNum>
  <w:abstractNum w:abstractNumId="4" w15:restartNumberingAfterBreak="0">
    <w:nsid w:val="78106162"/>
    <w:multiLevelType w:val="hybridMultilevel"/>
    <w:tmpl w:val="950C6BB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D12"/>
    <w:rsid w:val="00002D60"/>
    <w:rsid w:val="00005DF1"/>
    <w:rsid w:val="00017651"/>
    <w:rsid w:val="000457D2"/>
    <w:rsid w:val="000479E3"/>
    <w:rsid w:val="00076DC9"/>
    <w:rsid w:val="00095FB6"/>
    <w:rsid w:val="001070E7"/>
    <w:rsid w:val="001119B0"/>
    <w:rsid w:val="00154A6F"/>
    <w:rsid w:val="001756F3"/>
    <w:rsid w:val="00184438"/>
    <w:rsid w:val="001A335C"/>
    <w:rsid w:val="001B20B5"/>
    <w:rsid w:val="001B24C4"/>
    <w:rsid w:val="001E7353"/>
    <w:rsid w:val="002119DB"/>
    <w:rsid w:val="00232AAD"/>
    <w:rsid w:val="00245F8A"/>
    <w:rsid w:val="00250F2A"/>
    <w:rsid w:val="00252C56"/>
    <w:rsid w:val="002539F4"/>
    <w:rsid w:val="00261D12"/>
    <w:rsid w:val="00281D2C"/>
    <w:rsid w:val="002B30C3"/>
    <w:rsid w:val="0031150B"/>
    <w:rsid w:val="0034098E"/>
    <w:rsid w:val="00342926"/>
    <w:rsid w:val="00370494"/>
    <w:rsid w:val="00377F70"/>
    <w:rsid w:val="00382693"/>
    <w:rsid w:val="00383C44"/>
    <w:rsid w:val="003905BF"/>
    <w:rsid w:val="00393437"/>
    <w:rsid w:val="003A5FF6"/>
    <w:rsid w:val="003A6AA7"/>
    <w:rsid w:val="003D0DEC"/>
    <w:rsid w:val="004111E9"/>
    <w:rsid w:val="0042017D"/>
    <w:rsid w:val="00420F90"/>
    <w:rsid w:val="0042309E"/>
    <w:rsid w:val="00425CE9"/>
    <w:rsid w:val="0043212F"/>
    <w:rsid w:val="004370AC"/>
    <w:rsid w:val="0043748E"/>
    <w:rsid w:val="004A4172"/>
    <w:rsid w:val="004D246E"/>
    <w:rsid w:val="004E602C"/>
    <w:rsid w:val="00501573"/>
    <w:rsid w:val="00514936"/>
    <w:rsid w:val="00523B44"/>
    <w:rsid w:val="0052452F"/>
    <w:rsid w:val="0052668B"/>
    <w:rsid w:val="00536FF0"/>
    <w:rsid w:val="0053796F"/>
    <w:rsid w:val="0058796B"/>
    <w:rsid w:val="00592518"/>
    <w:rsid w:val="005A4299"/>
    <w:rsid w:val="005B21A9"/>
    <w:rsid w:val="005F1191"/>
    <w:rsid w:val="005F13CB"/>
    <w:rsid w:val="00643302"/>
    <w:rsid w:val="006448E7"/>
    <w:rsid w:val="0065405E"/>
    <w:rsid w:val="00662C34"/>
    <w:rsid w:val="00666D40"/>
    <w:rsid w:val="006E1AFE"/>
    <w:rsid w:val="007311E1"/>
    <w:rsid w:val="00750611"/>
    <w:rsid w:val="00774252"/>
    <w:rsid w:val="007A1184"/>
    <w:rsid w:val="007B5872"/>
    <w:rsid w:val="007C0DFB"/>
    <w:rsid w:val="007C1C13"/>
    <w:rsid w:val="007E1A9B"/>
    <w:rsid w:val="007E4776"/>
    <w:rsid w:val="00845B07"/>
    <w:rsid w:val="008545BC"/>
    <w:rsid w:val="008559E1"/>
    <w:rsid w:val="008715DE"/>
    <w:rsid w:val="0090180A"/>
    <w:rsid w:val="00904808"/>
    <w:rsid w:val="00916A68"/>
    <w:rsid w:val="00923F26"/>
    <w:rsid w:val="009343BE"/>
    <w:rsid w:val="0093521B"/>
    <w:rsid w:val="00962D6B"/>
    <w:rsid w:val="00972B8B"/>
    <w:rsid w:val="00973F0B"/>
    <w:rsid w:val="00995449"/>
    <w:rsid w:val="00995A0B"/>
    <w:rsid w:val="009967C8"/>
    <w:rsid w:val="00997CAB"/>
    <w:rsid w:val="00A14AAE"/>
    <w:rsid w:val="00A63730"/>
    <w:rsid w:val="00A752C8"/>
    <w:rsid w:val="00A95749"/>
    <w:rsid w:val="00AA35BF"/>
    <w:rsid w:val="00AB111E"/>
    <w:rsid w:val="00AC4A8C"/>
    <w:rsid w:val="00AE4C61"/>
    <w:rsid w:val="00B069C2"/>
    <w:rsid w:val="00B3726B"/>
    <w:rsid w:val="00B51DDA"/>
    <w:rsid w:val="00B62141"/>
    <w:rsid w:val="00BC51B9"/>
    <w:rsid w:val="00BD1913"/>
    <w:rsid w:val="00C04554"/>
    <w:rsid w:val="00C12973"/>
    <w:rsid w:val="00C1699B"/>
    <w:rsid w:val="00C16FBC"/>
    <w:rsid w:val="00C24D2D"/>
    <w:rsid w:val="00C30549"/>
    <w:rsid w:val="00C45089"/>
    <w:rsid w:val="00C45F11"/>
    <w:rsid w:val="00C57C59"/>
    <w:rsid w:val="00C92368"/>
    <w:rsid w:val="00C935F2"/>
    <w:rsid w:val="00CE2A19"/>
    <w:rsid w:val="00CF7DE6"/>
    <w:rsid w:val="00D0563F"/>
    <w:rsid w:val="00D11D81"/>
    <w:rsid w:val="00D73964"/>
    <w:rsid w:val="00D773DB"/>
    <w:rsid w:val="00D84A99"/>
    <w:rsid w:val="00D927B1"/>
    <w:rsid w:val="00D93B55"/>
    <w:rsid w:val="00DD6F8F"/>
    <w:rsid w:val="00E1589C"/>
    <w:rsid w:val="00E45027"/>
    <w:rsid w:val="00E57F64"/>
    <w:rsid w:val="00E94C51"/>
    <w:rsid w:val="00E976CD"/>
    <w:rsid w:val="00EA596F"/>
    <w:rsid w:val="00F05A79"/>
    <w:rsid w:val="00F34FAD"/>
    <w:rsid w:val="00F374E7"/>
    <w:rsid w:val="00F66F96"/>
    <w:rsid w:val="00F8139D"/>
    <w:rsid w:val="00FC7705"/>
    <w:rsid w:val="00FD1931"/>
    <w:rsid w:val="00FE07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76057"/>
  <w15:chartTrackingRefBased/>
  <w15:docId w15:val="{23F5925C-0DD0-408B-9687-5E07D1CD9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semiHidden/>
    <w:unhideWhenUsed/>
    <w:qFormat/>
    <w:rsid w:val="00261D12"/>
    <w:pPr>
      <w:spacing w:before="100" w:beforeAutospacing="1" w:after="100" w:afterAutospacing="1" w:line="240" w:lineRule="auto"/>
      <w:outlineLvl w:val="1"/>
    </w:pPr>
    <w:rPr>
      <w:rFonts w:ascii="Calibri" w:hAnsi="Calibri" w:cs="Calibri"/>
      <w:b/>
      <w:bCs/>
      <w:sz w:val="36"/>
      <w:szCs w:val="36"/>
      <w:lang w:eastAsia="fr-FR"/>
    </w:rPr>
  </w:style>
  <w:style w:type="paragraph" w:styleId="Titre3">
    <w:name w:val="heading 3"/>
    <w:basedOn w:val="Normal"/>
    <w:next w:val="Normal"/>
    <w:link w:val="Titre3Car"/>
    <w:uiPriority w:val="9"/>
    <w:semiHidden/>
    <w:unhideWhenUsed/>
    <w:qFormat/>
    <w:rsid w:val="00002D6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61D12"/>
    <w:pPr>
      <w:ind w:left="720"/>
      <w:contextualSpacing/>
    </w:pPr>
  </w:style>
  <w:style w:type="character" w:customStyle="1" w:styleId="Titre2Car">
    <w:name w:val="Titre 2 Car"/>
    <w:basedOn w:val="Policepardfaut"/>
    <w:link w:val="Titre2"/>
    <w:uiPriority w:val="9"/>
    <w:semiHidden/>
    <w:rsid w:val="00261D12"/>
    <w:rPr>
      <w:rFonts w:ascii="Calibri" w:hAnsi="Calibri" w:cs="Calibri"/>
      <w:b/>
      <w:bCs/>
      <w:sz w:val="36"/>
      <w:szCs w:val="36"/>
      <w:lang w:eastAsia="fr-FR"/>
    </w:rPr>
  </w:style>
  <w:style w:type="character" w:styleId="lev">
    <w:name w:val="Strong"/>
    <w:basedOn w:val="Policepardfaut"/>
    <w:uiPriority w:val="22"/>
    <w:qFormat/>
    <w:rsid w:val="00261D12"/>
    <w:rPr>
      <w:b/>
      <w:bCs/>
    </w:rPr>
  </w:style>
  <w:style w:type="paragraph" w:customStyle="1" w:styleId="bodytext">
    <w:name w:val="bodytext"/>
    <w:basedOn w:val="Normal"/>
    <w:rsid w:val="009967C8"/>
    <w:pPr>
      <w:spacing w:before="100" w:beforeAutospacing="1" w:after="100" w:afterAutospacing="1" w:line="240" w:lineRule="auto"/>
    </w:pPr>
    <w:rPr>
      <w:rFonts w:ascii="Calibri" w:hAnsi="Calibri" w:cs="Calibri"/>
      <w:lang w:eastAsia="fr-FR"/>
    </w:rPr>
  </w:style>
  <w:style w:type="paragraph" w:styleId="NormalWeb">
    <w:name w:val="Normal (Web)"/>
    <w:basedOn w:val="Normal"/>
    <w:uiPriority w:val="99"/>
    <w:unhideWhenUsed/>
    <w:rsid w:val="00F374E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hiffrejour-gros">
    <w:name w:val="chiffrejour-gros"/>
    <w:basedOn w:val="Normal"/>
    <w:rsid w:val="002539F4"/>
    <w:pPr>
      <w:spacing w:before="100" w:beforeAutospacing="1" w:after="100" w:afterAutospacing="1" w:line="240" w:lineRule="auto"/>
    </w:pPr>
    <w:rPr>
      <w:rFonts w:ascii="Calibri" w:hAnsi="Calibri" w:cs="Calibri"/>
      <w:lang w:eastAsia="fr-FR"/>
    </w:rPr>
  </w:style>
  <w:style w:type="paragraph" w:styleId="Rvision">
    <w:name w:val="Revision"/>
    <w:hidden/>
    <w:uiPriority w:val="99"/>
    <w:semiHidden/>
    <w:rsid w:val="00C30549"/>
    <w:pPr>
      <w:spacing w:after="0" w:line="240" w:lineRule="auto"/>
    </w:pPr>
  </w:style>
  <w:style w:type="paragraph" w:styleId="Textedebulles">
    <w:name w:val="Balloon Text"/>
    <w:basedOn w:val="Normal"/>
    <w:link w:val="TextedebullesCar"/>
    <w:uiPriority w:val="99"/>
    <w:semiHidden/>
    <w:unhideWhenUsed/>
    <w:rsid w:val="00C3054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30549"/>
    <w:rPr>
      <w:rFonts w:ascii="Segoe UI" w:hAnsi="Segoe UI" w:cs="Segoe UI"/>
      <w:sz w:val="18"/>
      <w:szCs w:val="18"/>
    </w:rPr>
  </w:style>
  <w:style w:type="character" w:styleId="Lienhypertexte">
    <w:name w:val="Hyperlink"/>
    <w:basedOn w:val="Policepardfaut"/>
    <w:uiPriority w:val="99"/>
    <w:semiHidden/>
    <w:unhideWhenUsed/>
    <w:rsid w:val="00C24D2D"/>
    <w:rPr>
      <w:color w:val="0000FF"/>
      <w:u w:val="single"/>
    </w:rPr>
  </w:style>
  <w:style w:type="character" w:customStyle="1" w:styleId="Titre3Car">
    <w:name w:val="Titre 3 Car"/>
    <w:basedOn w:val="Policepardfaut"/>
    <w:link w:val="Titre3"/>
    <w:uiPriority w:val="9"/>
    <w:semiHidden/>
    <w:rsid w:val="00002D60"/>
    <w:rPr>
      <w:rFonts w:asciiTheme="majorHAnsi" w:eastAsiaTheme="majorEastAsia" w:hAnsiTheme="majorHAnsi" w:cstheme="majorBidi"/>
      <w:color w:val="1F3763" w:themeColor="accent1" w:themeShade="7F"/>
      <w:sz w:val="24"/>
      <w:szCs w:val="24"/>
    </w:rPr>
  </w:style>
  <w:style w:type="paragraph" w:customStyle="1" w:styleId="sc-14kwckt-6">
    <w:name w:val="sc-14kwckt-6"/>
    <w:basedOn w:val="Normal"/>
    <w:rsid w:val="00002D60"/>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70612">
      <w:bodyDiv w:val="1"/>
      <w:marLeft w:val="0"/>
      <w:marRight w:val="0"/>
      <w:marTop w:val="0"/>
      <w:marBottom w:val="0"/>
      <w:divBdr>
        <w:top w:val="none" w:sz="0" w:space="0" w:color="auto"/>
        <w:left w:val="none" w:sz="0" w:space="0" w:color="auto"/>
        <w:bottom w:val="none" w:sz="0" w:space="0" w:color="auto"/>
        <w:right w:val="none" w:sz="0" w:space="0" w:color="auto"/>
      </w:divBdr>
    </w:div>
    <w:div w:id="106169353">
      <w:bodyDiv w:val="1"/>
      <w:marLeft w:val="0"/>
      <w:marRight w:val="0"/>
      <w:marTop w:val="0"/>
      <w:marBottom w:val="0"/>
      <w:divBdr>
        <w:top w:val="none" w:sz="0" w:space="0" w:color="auto"/>
        <w:left w:val="none" w:sz="0" w:space="0" w:color="auto"/>
        <w:bottom w:val="none" w:sz="0" w:space="0" w:color="auto"/>
        <w:right w:val="none" w:sz="0" w:space="0" w:color="auto"/>
      </w:divBdr>
    </w:div>
    <w:div w:id="122966276">
      <w:bodyDiv w:val="1"/>
      <w:marLeft w:val="0"/>
      <w:marRight w:val="0"/>
      <w:marTop w:val="0"/>
      <w:marBottom w:val="0"/>
      <w:divBdr>
        <w:top w:val="none" w:sz="0" w:space="0" w:color="auto"/>
        <w:left w:val="none" w:sz="0" w:space="0" w:color="auto"/>
        <w:bottom w:val="none" w:sz="0" w:space="0" w:color="auto"/>
        <w:right w:val="none" w:sz="0" w:space="0" w:color="auto"/>
      </w:divBdr>
    </w:div>
    <w:div w:id="165872358">
      <w:bodyDiv w:val="1"/>
      <w:marLeft w:val="0"/>
      <w:marRight w:val="0"/>
      <w:marTop w:val="0"/>
      <w:marBottom w:val="0"/>
      <w:divBdr>
        <w:top w:val="none" w:sz="0" w:space="0" w:color="auto"/>
        <w:left w:val="none" w:sz="0" w:space="0" w:color="auto"/>
        <w:bottom w:val="none" w:sz="0" w:space="0" w:color="auto"/>
        <w:right w:val="none" w:sz="0" w:space="0" w:color="auto"/>
      </w:divBdr>
    </w:div>
    <w:div w:id="189074348">
      <w:bodyDiv w:val="1"/>
      <w:marLeft w:val="0"/>
      <w:marRight w:val="0"/>
      <w:marTop w:val="0"/>
      <w:marBottom w:val="0"/>
      <w:divBdr>
        <w:top w:val="none" w:sz="0" w:space="0" w:color="auto"/>
        <w:left w:val="none" w:sz="0" w:space="0" w:color="auto"/>
        <w:bottom w:val="none" w:sz="0" w:space="0" w:color="auto"/>
        <w:right w:val="none" w:sz="0" w:space="0" w:color="auto"/>
      </w:divBdr>
    </w:div>
    <w:div w:id="237861272">
      <w:bodyDiv w:val="1"/>
      <w:marLeft w:val="0"/>
      <w:marRight w:val="0"/>
      <w:marTop w:val="0"/>
      <w:marBottom w:val="0"/>
      <w:divBdr>
        <w:top w:val="none" w:sz="0" w:space="0" w:color="auto"/>
        <w:left w:val="none" w:sz="0" w:space="0" w:color="auto"/>
        <w:bottom w:val="none" w:sz="0" w:space="0" w:color="auto"/>
        <w:right w:val="none" w:sz="0" w:space="0" w:color="auto"/>
      </w:divBdr>
    </w:div>
    <w:div w:id="251203383">
      <w:bodyDiv w:val="1"/>
      <w:marLeft w:val="0"/>
      <w:marRight w:val="0"/>
      <w:marTop w:val="0"/>
      <w:marBottom w:val="0"/>
      <w:divBdr>
        <w:top w:val="none" w:sz="0" w:space="0" w:color="auto"/>
        <w:left w:val="none" w:sz="0" w:space="0" w:color="auto"/>
        <w:bottom w:val="none" w:sz="0" w:space="0" w:color="auto"/>
        <w:right w:val="none" w:sz="0" w:space="0" w:color="auto"/>
      </w:divBdr>
    </w:div>
    <w:div w:id="254747267">
      <w:bodyDiv w:val="1"/>
      <w:marLeft w:val="0"/>
      <w:marRight w:val="0"/>
      <w:marTop w:val="0"/>
      <w:marBottom w:val="0"/>
      <w:divBdr>
        <w:top w:val="none" w:sz="0" w:space="0" w:color="auto"/>
        <w:left w:val="none" w:sz="0" w:space="0" w:color="auto"/>
        <w:bottom w:val="none" w:sz="0" w:space="0" w:color="auto"/>
        <w:right w:val="none" w:sz="0" w:space="0" w:color="auto"/>
      </w:divBdr>
    </w:div>
    <w:div w:id="264313724">
      <w:bodyDiv w:val="1"/>
      <w:marLeft w:val="0"/>
      <w:marRight w:val="0"/>
      <w:marTop w:val="0"/>
      <w:marBottom w:val="0"/>
      <w:divBdr>
        <w:top w:val="none" w:sz="0" w:space="0" w:color="auto"/>
        <w:left w:val="none" w:sz="0" w:space="0" w:color="auto"/>
        <w:bottom w:val="none" w:sz="0" w:space="0" w:color="auto"/>
        <w:right w:val="none" w:sz="0" w:space="0" w:color="auto"/>
      </w:divBdr>
    </w:div>
    <w:div w:id="273250858">
      <w:bodyDiv w:val="1"/>
      <w:marLeft w:val="0"/>
      <w:marRight w:val="0"/>
      <w:marTop w:val="0"/>
      <w:marBottom w:val="0"/>
      <w:divBdr>
        <w:top w:val="none" w:sz="0" w:space="0" w:color="auto"/>
        <w:left w:val="none" w:sz="0" w:space="0" w:color="auto"/>
        <w:bottom w:val="none" w:sz="0" w:space="0" w:color="auto"/>
        <w:right w:val="none" w:sz="0" w:space="0" w:color="auto"/>
      </w:divBdr>
    </w:div>
    <w:div w:id="345980719">
      <w:bodyDiv w:val="1"/>
      <w:marLeft w:val="0"/>
      <w:marRight w:val="0"/>
      <w:marTop w:val="0"/>
      <w:marBottom w:val="0"/>
      <w:divBdr>
        <w:top w:val="none" w:sz="0" w:space="0" w:color="auto"/>
        <w:left w:val="none" w:sz="0" w:space="0" w:color="auto"/>
        <w:bottom w:val="none" w:sz="0" w:space="0" w:color="auto"/>
        <w:right w:val="none" w:sz="0" w:space="0" w:color="auto"/>
      </w:divBdr>
    </w:div>
    <w:div w:id="375471599">
      <w:bodyDiv w:val="1"/>
      <w:marLeft w:val="0"/>
      <w:marRight w:val="0"/>
      <w:marTop w:val="0"/>
      <w:marBottom w:val="0"/>
      <w:divBdr>
        <w:top w:val="none" w:sz="0" w:space="0" w:color="auto"/>
        <w:left w:val="none" w:sz="0" w:space="0" w:color="auto"/>
        <w:bottom w:val="none" w:sz="0" w:space="0" w:color="auto"/>
        <w:right w:val="none" w:sz="0" w:space="0" w:color="auto"/>
      </w:divBdr>
    </w:div>
    <w:div w:id="423578356">
      <w:bodyDiv w:val="1"/>
      <w:marLeft w:val="0"/>
      <w:marRight w:val="0"/>
      <w:marTop w:val="0"/>
      <w:marBottom w:val="0"/>
      <w:divBdr>
        <w:top w:val="none" w:sz="0" w:space="0" w:color="auto"/>
        <w:left w:val="none" w:sz="0" w:space="0" w:color="auto"/>
        <w:bottom w:val="none" w:sz="0" w:space="0" w:color="auto"/>
        <w:right w:val="none" w:sz="0" w:space="0" w:color="auto"/>
      </w:divBdr>
    </w:div>
    <w:div w:id="432168132">
      <w:bodyDiv w:val="1"/>
      <w:marLeft w:val="0"/>
      <w:marRight w:val="0"/>
      <w:marTop w:val="0"/>
      <w:marBottom w:val="0"/>
      <w:divBdr>
        <w:top w:val="none" w:sz="0" w:space="0" w:color="auto"/>
        <w:left w:val="none" w:sz="0" w:space="0" w:color="auto"/>
        <w:bottom w:val="none" w:sz="0" w:space="0" w:color="auto"/>
        <w:right w:val="none" w:sz="0" w:space="0" w:color="auto"/>
      </w:divBdr>
    </w:div>
    <w:div w:id="447623255">
      <w:bodyDiv w:val="1"/>
      <w:marLeft w:val="0"/>
      <w:marRight w:val="0"/>
      <w:marTop w:val="0"/>
      <w:marBottom w:val="0"/>
      <w:divBdr>
        <w:top w:val="none" w:sz="0" w:space="0" w:color="auto"/>
        <w:left w:val="none" w:sz="0" w:space="0" w:color="auto"/>
        <w:bottom w:val="none" w:sz="0" w:space="0" w:color="auto"/>
        <w:right w:val="none" w:sz="0" w:space="0" w:color="auto"/>
      </w:divBdr>
    </w:div>
    <w:div w:id="470904679">
      <w:bodyDiv w:val="1"/>
      <w:marLeft w:val="0"/>
      <w:marRight w:val="0"/>
      <w:marTop w:val="0"/>
      <w:marBottom w:val="0"/>
      <w:divBdr>
        <w:top w:val="none" w:sz="0" w:space="0" w:color="auto"/>
        <w:left w:val="none" w:sz="0" w:space="0" w:color="auto"/>
        <w:bottom w:val="none" w:sz="0" w:space="0" w:color="auto"/>
        <w:right w:val="none" w:sz="0" w:space="0" w:color="auto"/>
      </w:divBdr>
    </w:div>
    <w:div w:id="472019596">
      <w:bodyDiv w:val="1"/>
      <w:marLeft w:val="0"/>
      <w:marRight w:val="0"/>
      <w:marTop w:val="0"/>
      <w:marBottom w:val="0"/>
      <w:divBdr>
        <w:top w:val="none" w:sz="0" w:space="0" w:color="auto"/>
        <w:left w:val="none" w:sz="0" w:space="0" w:color="auto"/>
        <w:bottom w:val="none" w:sz="0" w:space="0" w:color="auto"/>
        <w:right w:val="none" w:sz="0" w:space="0" w:color="auto"/>
      </w:divBdr>
    </w:div>
    <w:div w:id="517617299">
      <w:bodyDiv w:val="1"/>
      <w:marLeft w:val="0"/>
      <w:marRight w:val="0"/>
      <w:marTop w:val="0"/>
      <w:marBottom w:val="0"/>
      <w:divBdr>
        <w:top w:val="none" w:sz="0" w:space="0" w:color="auto"/>
        <w:left w:val="none" w:sz="0" w:space="0" w:color="auto"/>
        <w:bottom w:val="none" w:sz="0" w:space="0" w:color="auto"/>
        <w:right w:val="none" w:sz="0" w:space="0" w:color="auto"/>
      </w:divBdr>
    </w:div>
    <w:div w:id="542406866">
      <w:bodyDiv w:val="1"/>
      <w:marLeft w:val="0"/>
      <w:marRight w:val="0"/>
      <w:marTop w:val="0"/>
      <w:marBottom w:val="0"/>
      <w:divBdr>
        <w:top w:val="none" w:sz="0" w:space="0" w:color="auto"/>
        <w:left w:val="none" w:sz="0" w:space="0" w:color="auto"/>
        <w:bottom w:val="none" w:sz="0" w:space="0" w:color="auto"/>
        <w:right w:val="none" w:sz="0" w:space="0" w:color="auto"/>
      </w:divBdr>
    </w:div>
    <w:div w:id="543516589">
      <w:bodyDiv w:val="1"/>
      <w:marLeft w:val="0"/>
      <w:marRight w:val="0"/>
      <w:marTop w:val="0"/>
      <w:marBottom w:val="0"/>
      <w:divBdr>
        <w:top w:val="none" w:sz="0" w:space="0" w:color="auto"/>
        <w:left w:val="none" w:sz="0" w:space="0" w:color="auto"/>
        <w:bottom w:val="none" w:sz="0" w:space="0" w:color="auto"/>
        <w:right w:val="none" w:sz="0" w:space="0" w:color="auto"/>
      </w:divBdr>
    </w:div>
    <w:div w:id="567687175">
      <w:bodyDiv w:val="1"/>
      <w:marLeft w:val="0"/>
      <w:marRight w:val="0"/>
      <w:marTop w:val="0"/>
      <w:marBottom w:val="0"/>
      <w:divBdr>
        <w:top w:val="none" w:sz="0" w:space="0" w:color="auto"/>
        <w:left w:val="none" w:sz="0" w:space="0" w:color="auto"/>
        <w:bottom w:val="none" w:sz="0" w:space="0" w:color="auto"/>
        <w:right w:val="none" w:sz="0" w:space="0" w:color="auto"/>
      </w:divBdr>
    </w:div>
    <w:div w:id="618680688">
      <w:bodyDiv w:val="1"/>
      <w:marLeft w:val="0"/>
      <w:marRight w:val="0"/>
      <w:marTop w:val="0"/>
      <w:marBottom w:val="0"/>
      <w:divBdr>
        <w:top w:val="none" w:sz="0" w:space="0" w:color="auto"/>
        <w:left w:val="none" w:sz="0" w:space="0" w:color="auto"/>
        <w:bottom w:val="none" w:sz="0" w:space="0" w:color="auto"/>
        <w:right w:val="none" w:sz="0" w:space="0" w:color="auto"/>
      </w:divBdr>
    </w:div>
    <w:div w:id="662051812">
      <w:bodyDiv w:val="1"/>
      <w:marLeft w:val="0"/>
      <w:marRight w:val="0"/>
      <w:marTop w:val="0"/>
      <w:marBottom w:val="0"/>
      <w:divBdr>
        <w:top w:val="none" w:sz="0" w:space="0" w:color="auto"/>
        <w:left w:val="none" w:sz="0" w:space="0" w:color="auto"/>
        <w:bottom w:val="none" w:sz="0" w:space="0" w:color="auto"/>
        <w:right w:val="none" w:sz="0" w:space="0" w:color="auto"/>
      </w:divBdr>
    </w:div>
    <w:div w:id="666247026">
      <w:bodyDiv w:val="1"/>
      <w:marLeft w:val="0"/>
      <w:marRight w:val="0"/>
      <w:marTop w:val="0"/>
      <w:marBottom w:val="0"/>
      <w:divBdr>
        <w:top w:val="none" w:sz="0" w:space="0" w:color="auto"/>
        <w:left w:val="none" w:sz="0" w:space="0" w:color="auto"/>
        <w:bottom w:val="none" w:sz="0" w:space="0" w:color="auto"/>
        <w:right w:val="none" w:sz="0" w:space="0" w:color="auto"/>
      </w:divBdr>
    </w:div>
    <w:div w:id="705762958">
      <w:bodyDiv w:val="1"/>
      <w:marLeft w:val="0"/>
      <w:marRight w:val="0"/>
      <w:marTop w:val="0"/>
      <w:marBottom w:val="0"/>
      <w:divBdr>
        <w:top w:val="none" w:sz="0" w:space="0" w:color="auto"/>
        <w:left w:val="none" w:sz="0" w:space="0" w:color="auto"/>
        <w:bottom w:val="none" w:sz="0" w:space="0" w:color="auto"/>
        <w:right w:val="none" w:sz="0" w:space="0" w:color="auto"/>
      </w:divBdr>
    </w:div>
    <w:div w:id="729158449">
      <w:bodyDiv w:val="1"/>
      <w:marLeft w:val="0"/>
      <w:marRight w:val="0"/>
      <w:marTop w:val="0"/>
      <w:marBottom w:val="0"/>
      <w:divBdr>
        <w:top w:val="none" w:sz="0" w:space="0" w:color="auto"/>
        <w:left w:val="none" w:sz="0" w:space="0" w:color="auto"/>
        <w:bottom w:val="none" w:sz="0" w:space="0" w:color="auto"/>
        <w:right w:val="none" w:sz="0" w:space="0" w:color="auto"/>
      </w:divBdr>
    </w:div>
    <w:div w:id="777061540">
      <w:bodyDiv w:val="1"/>
      <w:marLeft w:val="0"/>
      <w:marRight w:val="0"/>
      <w:marTop w:val="0"/>
      <w:marBottom w:val="0"/>
      <w:divBdr>
        <w:top w:val="none" w:sz="0" w:space="0" w:color="auto"/>
        <w:left w:val="none" w:sz="0" w:space="0" w:color="auto"/>
        <w:bottom w:val="none" w:sz="0" w:space="0" w:color="auto"/>
        <w:right w:val="none" w:sz="0" w:space="0" w:color="auto"/>
      </w:divBdr>
    </w:div>
    <w:div w:id="889807390">
      <w:bodyDiv w:val="1"/>
      <w:marLeft w:val="0"/>
      <w:marRight w:val="0"/>
      <w:marTop w:val="0"/>
      <w:marBottom w:val="0"/>
      <w:divBdr>
        <w:top w:val="none" w:sz="0" w:space="0" w:color="auto"/>
        <w:left w:val="none" w:sz="0" w:space="0" w:color="auto"/>
        <w:bottom w:val="none" w:sz="0" w:space="0" w:color="auto"/>
        <w:right w:val="none" w:sz="0" w:space="0" w:color="auto"/>
      </w:divBdr>
    </w:div>
    <w:div w:id="962230893">
      <w:bodyDiv w:val="1"/>
      <w:marLeft w:val="0"/>
      <w:marRight w:val="0"/>
      <w:marTop w:val="0"/>
      <w:marBottom w:val="0"/>
      <w:divBdr>
        <w:top w:val="none" w:sz="0" w:space="0" w:color="auto"/>
        <w:left w:val="none" w:sz="0" w:space="0" w:color="auto"/>
        <w:bottom w:val="none" w:sz="0" w:space="0" w:color="auto"/>
        <w:right w:val="none" w:sz="0" w:space="0" w:color="auto"/>
      </w:divBdr>
    </w:div>
    <w:div w:id="989746326">
      <w:bodyDiv w:val="1"/>
      <w:marLeft w:val="0"/>
      <w:marRight w:val="0"/>
      <w:marTop w:val="0"/>
      <w:marBottom w:val="0"/>
      <w:divBdr>
        <w:top w:val="none" w:sz="0" w:space="0" w:color="auto"/>
        <w:left w:val="none" w:sz="0" w:space="0" w:color="auto"/>
        <w:bottom w:val="none" w:sz="0" w:space="0" w:color="auto"/>
        <w:right w:val="none" w:sz="0" w:space="0" w:color="auto"/>
      </w:divBdr>
    </w:div>
    <w:div w:id="1001853255">
      <w:bodyDiv w:val="1"/>
      <w:marLeft w:val="0"/>
      <w:marRight w:val="0"/>
      <w:marTop w:val="0"/>
      <w:marBottom w:val="0"/>
      <w:divBdr>
        <w:top w:val="none" w:sz="0" w:space="0" w:color="auto"/>
        <w:left w:val="none" w:sz="0" w:space="0" w:color="auto"/>
        <w:bottom w:val="none" w:sz="0" w:space="0" w:color="auto"/>
        <w:right w:val="none" w:sz="0" w:space="0" w:color="auto"/>
      </w:divBdr>
      <w:divsChild>
        <w:div w:id="696127521">
          <w:marLeft w:val="0"/>
          <w:marRight w:val="0"/>
          <w:marTop w:val="0"/>
          <w:marBottom w:val="0"/>
          <w:divBdr>
            <w:top w:val="none" w:sz="0" w:space="0" w:color="auto"/>
            <w:left w:val="none" w:sz="0" w:space="0" w:color="auto"/>
            <w:bottom w:val="none" w:sz="0" w:space="0" w:color="auto"/>
            <w:right w:val="none" w:sz="0" w:space="0" w:color="auto"/>
          </w:divBdr>
        </w:div>
        <w:div w:id="1606688875">
          <w:marLeft w:val="0"/>
          <w:marRight w:val="0"/>
          <w:marTop w:val="600"/>
          <w:marBottom w:val="0"/>
          <w:divBdr>
            <w:top w:val="none" w:sz="0" w:space="0" w:color="auto"/>
            <w:left w:val="none" w:sz="0" w:space="0" w:color="auto"/>
            <w:bottom w:val="none" w:sz="0" w:space="0" w:color="auto"/>
            <w:right w:val="none" w:sz="0" w:space="0" w:color="auto"/>
          </w:divBdr>
        </w:div>
      </w:divsChild>
    </w:div>
    <w:div w:id="1023550425">
      <w:bodyDiv w:val="1"/>
      <w:marLeft w:val="0"/>
      <w:marRight w:val="0"/>
      <w:marTop w:val="0"/>
      <w:marBottom w:val="0"/>
      <w:divBdr>
        <w:top w:val="none" w:sz="0" w:space="0" w:color="auto"/>
        <w:left w:val="none" w:sz="0" w:space="0" w:color="auto"/>
        <w:bottom w:val="none" w:sz="0" w:space="0" w:color="auto"/>
        <w:right w:val="none" w:sz="0" w:space="0" w:color="auto"/>
      </w:divBdr>
    </w:div>
    <w:div w:id="1025448429">
      <w:bodyDiv w:val="1"/>
      <w:marLeft w:val="0"/>
      <w:marRight w:val="0"/>
      <w:marTop w:val="0"/>
      <w:marBottom w:val="0"/>
      <w:divBdr>
        <w:top w:val="none" w:sz="0" w:space="0" w:color="auto"/>
        <w:left w:val="none" w:sz="0" w:space="0" w:color="auto"/>
        <w:bottom w:val="none" w:sz="0" w:space="0" w:color="auto"/>
        <w:right w:val="none" w:sz="0" w:space="0" w:color="auto"/>
      </w:divBdr>
    </w:div>
    <w:div w:id="1161384684">
      <w:bodyDiv w:val="1"/>
      <w:marLeft w:val="0"/>
      <w:marRight w:val="0"/>
      <w:marTop w:val="0"/>
      <w:marBottom w:val="0"/>
      <w:divBdr>
        <w:top w:val="none" w:sz="0" w:space="0" w:color="auto"/>
        <w:left w:val="none" w:sz="0" w:space="0" w:color="auto"/>
        <w:bottom w:val="none" w:sz="0" w:space="0" w:color="auto"/>
        <w:right w:val="none" w:sz="0" w:space="0" w:color="auto"/>
      </w:divBdr>
    </w:div>
    <w:div w:id="1243297004">
      <w:bodyDiv w:val="1"/>
      <w:marLeft w:val="0"/>
      <w:marRight w:val="0"/>
      <w:marTop w:val="0"/>
      <w:marBottom w:val="0"/>
      <w:divBdr>
        <w:top w:val="none" w:sz="0" w:space="0" w:color="auto"/>
        <w:left w:val="none" w:sz="0" w:space="0" w:color="auto"/>
        <w:bottom w:val="none" w:sz="0" w:space="0" w:color="auto"/>
        <w:right w:val="none" w:sz="0" w:space="0" w:color="auto"/>
      </w:divBdr>
    </w:div>
    <w:div w:id="1253398684">
      <w:bodyDiv w:val="1"/>
      <w:marLeft w:val="0"/>
      <w:marRight w:val="0"/>
      <w:marTop w:val="0"/>
      <w:marBottom w:val="0"/>
      <w:divBdr>
        <w:top w:val="none" w:sz="0" w:space="0" w:color="auto"/>
        <w:left w:val="none" w:sz="0" w:space="0" w:color="auto"/>
        <w:bottom w:val="none" w:sz="0" w:space="0" w:color="auto"/>
        <w:right w:val="none" w:sz="0" w:space="0" w:color="auto"/>
      </w:divBdr>
      <w:divsChild>
        <w:div w:id="2031176231">
          <w:marLeft w:val="150"/>
          <w:marRight w:val="150"/>
          <w:marTop w:val="0"/>
          <w:marBottom w:val="0"/>
          <w:divBdr>
            <w:top w:val="single" w:sz="6" w:space="15" w:color="E5E5E5"/>
            <w:left w:val="none" w:sz="0" w:space="0" w:color="auto"/>
            <w:bottom w:val="none" w:sz="0" w:space="0" w:color="auto"/>
            <w:right w:val="none" w:sz="0" w:space="0" w:color="auto"/>
          </w:divBdr>
        </w:div>
      </w:divsChild>
    </w:div>
    <w:div w:id="1275553879">
      <w:bodyDiv w:val="1"/>
      <w:marLeft w:val="0"/>
      <w:marRight w:val="0"/>
      <w:marTop w:val="0"/>
      <w:marBottom w:val="0"/>
      <w:divBdr>
        <w:top w:val="none" w:sz="0" w:space="0" w:color="auto"/>
        <w:left w:val="none" w:sz="0" w:space="0" w:color="auto"/>
        <w:bottom w:val="none" w:sz="0" w:space="0" w:color="auto"/>
        <w:right w:val="none" w:sz="0" w:space="0" w:color="auto"/>
      </w:divBdr>
    </w:div>
    <w:div w:id="1321883352">
      <w:bodyDiv w:val="1"/>
      <w:marLeft w:val="0"/>
      <w:marRight w:val="0"/>
      <w:marTop w:val="0"/>
      <w:marBottom w:val="0"/>
      <w:divBdr>
        <w:top w:val="none" w:sz="0" w:space="0" w:color="auto"/>
        <w:left w:val="none" w:sz="0" w:space="0" w:color="auto"/>
        <w:bottom w:val="none" w:sz="0" w:space="0" w:color="auto"/>
        <w:right w:val="none" w:sz="0" w:space="0" w:color="auto"/>
      </w:divBdr>
    </w:div>
    <w:div w:id="1462115791">
      <w:bodyDiv w:val="1"/>
      <w:marLeft w:val="0"/>
      <w:marRight w:val="0"/>
      <w:marTop w:val="0"/>
      <w:marBottom w:val="0"/>
      <w:divBdr>
        <w:top w:val="none" w:sz="0" w:space="0" w:color="auto"/>
        <w:left w:val="none" w:sz="0" w:space="0" w:color="auto"/>
        <w:bottom w:val="none" w:sz="0" w:space="0" w:color="auto"/>
        <w:right w:val="none" w:sz="0" w:space="0" w:color="auto"/>
      </w:divBdr>
    </w:div>
    <w:div w:id="1472088544">
      <w:bodyDiv w:val="1"/>
      <w:marLeft w:val="0"/>
      <w:marRight w:val="0"/>
      <w:marTop w:val="0"/>
      <w:marBottom w:val="0"/>
      <w:divBdr>
        <w:top w:val="none" w:sz="0" w:space="0" w:color="auto"/>
        <w:left w:val="none" w:sz="0" w:space="0" w:color="auto"/>
        <w:bottom w:val="none" w:sz="0" w:space="0" w:color="auto"/>
        <w:right w:val="none" w:sz="0" w:space="0" w:color="auto"/>
      </w:divBdr>
    </w:div>
    <w:div w:id="1494838098">
      <w:bodyDiv w:val="1"/>
      <w:marLeft w:val="0"/>
      <w:marRight w:val="0"/>
      <w:marTop w:val="0"/>
      <w:marBottom w:val="0"/>
      <w:divBdr>
        <w:top w:val="none" w:sz="0" w:space="0" w:color="auto"/>
        <w:left w:val="none" w:sz="0" w:space="0" w:color="auto"/>
        <w:bottom w:val="none" w:sz="0" w:space="0" w:color="auto"/>
        <w:right w:val="none" w:sz="0" w:space="0" w:color="auto"/>
      </w:divBdr>
    </w:div>
    <w:div w:id="1607806774">
      <w:bodyDiv w:val="1"/>
      <w:marLeft w:val="0"/>
      <w:marRight w:val="0"/>
      <w:marTop w:val="0"/>
      <w:marBottom w:val="0"/>
      <w:divBdr>
        <w:top w:val="none" w:sz="0" w:space="0" w:color="auto"/>
        <w:left w:val="none" w:sz="0" w:space="0" w:color="auto"/>
        <w:bottom w:val="none" w:sz="0" w:space="0" w:color="auto"/>
        <w:right w:val="none" w:sz="0" w:space="0" w:color="auto"/>
      </w:divBdr>
    </w:div>
    <w:div w:id="1674138936">
      <w:bodyDiv w:val="1"/>
      <w:marLeft w:val="0"/>
      <w:marRight w:val="0"/>
      <w:marTop w:val="0"/>
      <w:marBottom w:val="0"/>
      <w:divBdr>
        <w:top w:val="none" w:sz="0" w:space="0" w:color="auto"/>
        <w:left w:val="none" w:sz="0" w:space="0" w:color="auto"/>
        <w:bottom w:val="none" w:sz="0" w:space="0" w:color="auto"/>
        <w:right w:val="none" w:sz="0" w:space="0" w:color="auto"/>
      </w:divBdr>
    </w:div>
    <w:div w:id="1699230999">
      <w:bodyDiv w:val="1"/>
      <w:marLeft w:val="0"/>
      <w:marRight w:val="0"/>
      <w:marTop w:val="0"/>
      <w:marBottom w:val="0"/>
      <w:divBdr>
        <w:top w:val="none" w:sz="0" w:space="0" w:color="auto"/>
        <w:left w:val="none" w:sz="0" w:space="0" w:color="auto"/>
        <w:bottom w:val="none" w:sz="0" w:space="0" w:color="auto"/>
        <w:right w:val="none" w:sz="0" w:space="0" w:color="auto"/>
      </w:divBdr>
    </w:div>
    <w:div w:id="1760642583">
      <w:bodyDiv w:val="1"/>
      <w:marLeft w:val="0"/>
      <w:marRight w:val="0"/>
      <w:marTop w:val="0"/>
      <w:marBottom w:val="0"/>
      <w:divBdr>
        <w:top w:val="none" w:sz="0" w:space="0" w:color="auto"/>
        <w:left w:val="none" w:sz="0" w:space="0" w:color="auto"/>
        <w:bottom w:val="none" w:sz="0" w:space="0" w:color="auto"/>
        <w:right w:val="none" w:sz="0" w:space="0" w:color="auto"/>
      </w:divBdr>
    </w:div>
    <w:div w:id="1795323212">
      <w:bodyDiv w:val="1"/>
      <w:marLeft w:val="0"/>
      <w:marRight w:val="0"/>
      <w:marTop w:val="0"/>
      <w:marBottom w:val="0"/>
      <w:divBdr>
        <w:top w:val="none" w:sz="0" w:space="0" w:color="auto"/>
        <w:left w:val="none" w:sz="0" w:space="0" w:color="auto"/>
        <w:bottom w:val="none" w:sz="0" w:space="0" w:color="auto"/>
        <w:right w:val="none" w:sz="0" w:space="0" w:color="auto"/>
      </w:divBdr>
    </w:div>
    <w:div w:id="1853953493">
      <w:bodyDiv w:val="1"/>
      <w:marLeft w:val="0"/>
      <w:marRight w:val="0"/>
      <w:marTop w:val="0"/>
      <w:marBottom w:val="0"/>
      <w:divBdr>
        <w:top w:val="none" w:sz="0" w:space="0" w:color="auto"/>
        <w:left w:val="none" w:sz="0" w:space="0" w:color="auto"/>
        <w:bottom w:val="none" w:sz="0" w:space="0" w:color="auto"/>
        <w:right w:val="none" w:sz="0" w:space="0" w:color="auto"/>
      </w:divBdr>
    </w:div>
    <w:div w:id="1858418926">
      <w:bodyDiv w:val="1"/>
      <w:marLeft w:val="0"/>
      <w:marRight w:val="0"/>
      <w:marTop w:val="0"/>
      <w:marBottom w:val="0"/>
      <w:divBdr>
        <w:top w:val="none" w:sz="0" w:space="0" w:color="auto"/>
        <w:left w:val="none" w:sz="0" w:space="0" w:color="auto"/>
        <w:bottom w:val="none" w:sz="0" w:space="0" w:color="auto"/>
        <w:right w:val="none" w:sz="0" w:space="0" w:color="auto"/>
      </w:divBdr>
    </w:div>
    <w:div w:id="1877615706">
      <w:bodyDiv w:val="1"/>
      <w:marLeft w:val="0"/>
      <w:marRight w:val="0"/>
      <w:marTop w:val="0"/>
      <w:marBottom w:val="0"/>
      <w:divBdr>
        <w:top w:val="none" w:sz="0" w:space="0" w:color="auto"/>
        <w:left w:val="none" w:sz="0" w:space="0" w:color="auto"/>
        <w:bottom w:val="none" w:sz="0" w:space="0" w:color="auto"/>
        <w:right w:val="none" w:sz="0" w:space="0" w:color="auto"/>
      </w:divBdr>
    </w:div>
    <w:div w:id="1953395490">
      <w:bodyDiv w:val="1"/>
      <w:marLeft w:val="0"/>
      <w:marRight w:val="0"/>
      <w:marTop w:val="0"/>
      <w:marBottom w:val="0"/>
      <w:divBdr>
        <w:top w:val="none" w:sz="0" w:space="0" w:color="auto"/>
        <w:left w:val="none" w:sz="0" w:space="0" w:color="auto"/>
        <w:bottom w:val="none" w:sz="0" w:space="0" w:color="auto"/>
        <w:right w:val="none" w:sz="0" w:space="0" w:color="auto"/>
      </w:divBdr>
    </w:div>
    <w:div w:id="1962227312">
      <w:bodyDiv w:val="1"/>
      <w:marLeft w:val="0"/>
      <w:marRight w:val="0"/>
      <w:marTop w:val="0"/>
      <w:marBottom w:val="0"/>
      <w:divBdr>
        <w:top w:val="none" w:sz="0" w:space="0" w:color="auto"/>
        <w:left w:val="none" w:sz="0" w:space="0" w:color="auto"/>
        <w:bottom w:val="none" w:sz="0" w:space="0" w:color="auto"/>
        <w:right w:val="none" w:sz="0" w:space="0" w:color="auto"/>
      </w:divBdr>
    </w:div>
    <w:div w:id="1984965666">
      <w:bodyDiv w:val="1"/>
      <w:marLeft w:val="0"/>
      <w:marRight w:val="0"/>
      <w:marTop w:val="0"/>
      <w:marBottom w:val="0"/>
      <w:divBdr>
        <w:top w:val="none" w:sz="0" w:space="0" w:color="auto"/>
        <w:left w:val="none" w:sz="0" w:space="0" w:color="auto"/>
        <w:bottom w:val="none" w:sz="0" w:space="0" w:color="auto"/>
        <w:right w:val="none" w:sz="0" w:space="0" w:color="auto"/>
      </w:divBdr>
    </w:div>
    <w:div w:id="1991056478">
      <w:bodyDiv w:val="1"/>
      <w:marLeft w:val="0"/>
      <w:marRight w:val="0"/>
      <w:marTop w:val="0"/>
      <w:marBottom w:val="0"/>
      <w:divBdr>
        <w:top w:val="none" w:sz="0" w:space="0" w:color="auto"/>
        <w:left w:val="none" w:sz="0" w:space="0" w:color="auto"/>
        <w:bottom w:val="none" w:sz="0" w:space="0" w:color="auto"/>
        <w:right w:val="none" w:sz="0" w:space="0" w:color="auto"/>
      </w:divBdr>
    </w:div>
    <w:div w:id="2115320536">
      <w:bodyDiv w:val="1"/>
      <w:marLeft w:val="0"/>
      <w:marRight w:val="0"/>
      <w:marTop w:val="0"/>
      <w:marBottom w:val="0"/>
      <w:divBdr>
        <w:top w:val="none" w:sz="0" w:space="0" w:color="auto"/>
        <w:left w:val="none" w:sz="0" w:space="0" w:color="auto"/>
        <w:bottom w:val="none" w:sz="0" w:space="0" w:color="auto"/>
        <w:right w:val="none" w:sz="0" w:space="0" w:color="auto"/>
      </w:divBdr>
    </w:div>
    <w:div w:id="2127001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investir.lesechos.fr/actions/recos-analystes/usa-goldman-sachs-abaisse-ses-previsions-de-pib-le-projet-de-reformes-sociales-en-danger-1994461.php"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831</Words>
  <Characters>4573</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Finances coop</dc:creator>
  <cp:keywords/>
  <dc:description/>
  <cp:lastModifiedBy>Christine Kerboull union-finances-grains</cp:lastModifiedBy>
  <cp:revision>22</cp:revision>
  <dcterms:created xsi:type="dcterms:W3CDTF">2021-12-20T18:45:00Z</dcterms:created>
  <dcterms:modified xsi:type="dcterms:W3CDTF">2021-12-20T19:22:00Z</dcterms:modified>
</cp:coreProperties>
</file>