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AE63" w14:textId="761DC922" w:rsidR="00342926" w:rsidRPr="00342926" w:rsidRDefault="00342926" w:rsidP="00377F70">
      <w:pPr>
        <w:jc w:val="center"/>
        <w:rPr>
          <w:rFonts w:ascii="Times New Roman" w:hAnsi="Times New Roman" w:cs="Times New Roman"/>
        </w:rPr>
      </w:pPr>
      <w:r w:rsidRPr="00342926">
        <w:rPr>
          <w:rFonts w:ascii="Times New Roman" w:hAnsi="Times New Roman" w:cs="Times New Roman"/>
          <w:sz w:val="28"/>
          <w:szCs w:val="28"/>
        </w:rPr>
        <w:t xml:space="preserve">INFOS </w:t>
      </w:r>
      <w:r w:rsidR="00261D12" w:rsidRPr="00342926">
        <w:rPr>
          <w:rFonts w:ascii="Times New Roman" w:hAnsi="Times New Roman" w:cs="Times New Roman"/>
          <w:sz w:val="28"/>
          <w:szCs w:val="28"/>
        </w:rPr>
        <w:t xml:space="preserve">NEWS </w:t>
      </w:r>
      <w:r w:rsidRPr="00342926">
        <w:rPr>
          <w:rFonts w:ascii="Times New Roman" w:hAnsi="Times New Roman" w:cs="Times New Roman"/>
          <w:sz w:val="28"/>
          <w:szCs w:val="28"/>
        </w:rPr>
        <w:t>INFOS NEWS INFOS NEWS INFOS NEWS INFOS NEWS</w:t>
      </w:r>
    </w:p>
    <w:p w14:paraId="3014A958" w14:textId="77777777" w:rsidR="00BC51B9" w:rsidRPr="00342926" w:rsidRDefault="00BC51B9">
      <w:pPr>
        <w:rPr>
          <w:rFonts w:ascii="Times New Roman" w:hAnsi="Times New Roman" w:cs="Times New Roman"/>
        </w:rPr>
      </w:pPr>
    </w:p>
    <w:p w14:paraId="4D7E444B" w14:textId="737BBED2" w:rsidR="008559E1" w:rsidRPr="001A335C" w:rsidRDefault="00342926" w:rsidP="003429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35C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261D12" w:rsidRPr="001A335C">
        <w:rPr>
          <w:rFonts w:ascii="Times New Roman" w:hAnsi="Times New Roman" w:cs="Times New Roman"/>
          <w:b/>
          <w:bCs/>
          <w:sz w:val="28"/>
          <w:szCs w:val="28"/>
        </w:rPr>
        <w:t xml:space="preserve">ournée du </w:t>
      </w:r>
      <w:r w:rsidR="008407B7">
        <w:rPr>
          <w:rFonts w:ascii="Times New Roman" w:hAnsi="Times New Roman" w:cs="Times New Roman"/>
          <w:b/>
          <w:bCs/>
          <w:sz w:val="28"/>
          <w:szCs w:val="28"/>
        </w:rPr>
        <w:t>23 décembre</w:t>
      </w:r>
      <w:r w:rsidR="00252C56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14:paraId="7B50E293" w14:textId="77777777" w:rsidR="009343BE" w:rsidRPr="00C57C59" w:rsidRDefault="009343BE" w:rsidP="00C57C59">
      <w:pPr>
        <w:pStyle w:val="Paragraphedeliste"/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fr-FR"/>
        </w:rPr>
      </w:pPr>
    </w:p>
    <w:p w14:paraId="0D12B7CB" w14:textId="77777777" w:rsidR="007A5257" w:rsidRPr="003A79F1" w:rsidRDefault="007A5257" w:rsidP="003A79F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CAC 40 a gagné 0,77% à 7 106,15 points et l'Euro </w:t>
      </w:r>
      <w:proofErr w:type="spellStart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Stoxx</w:t>
      </w:r>
      <w:proofErr w:type="spellEnd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50 a progressé de 1,22% à 4 268,56 points. </w:t>
      </w:r>
    </w:p>
    <w:p w14:paraId="6F797042" w14:textId="26B1BD50" w:rsidR="00722418" w:rsidRPr="003A79F1" w:rsidRDefault="00722418" w:rsidP="003A79F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marchés actions européens ont terminé dans le vert pour cette dernière séance complète de l'année. La Bourse de Paris ferme ses portes demain à 14h05 tandis que Francfort et Wall Street resteront fermés. Les investisseurs ont été rassurés par des études </w:t>
      </w:r>
      <w:r w:rsidR="007A5257"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sud-africaines</w:t>
      </w: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britanniques sur Omicron révélant que les personnes infectées couraient moins de risques d'être hospitalisées. Des données américaines plus solides ont également soutenu les marchés, comme la confiance du consommateur. </w:t>
      </w:r>
    </w:p>
    <w:p w14:paraId="1A72FF6E" w14:textId="77777777" w:rsidR="006717EB" w:rsidRPr="003A79F1" w:rsidRDefault="006717EB" w:rsidP="003A79F1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B2F8B2" w14:textId="77777777" w:rsidR="00722418" w:rsidRPr="003A79F1" w:rsidRDefault="00722418" w:rsidP="003A79F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Aux Etats-Unis, les ventes de logements neufs ont bondi de 12,4% à 744 000 en rythme annuel en novembre.</w:t>
      </w:r>
    </w:p>
    <w:p w14:paraId="01FB86FB" w14:textId="77777777" w:rsidR="00722418" w:rsidRPr="003A79F1" w:rsidRDefault="00722418" w:rsidP="003A79F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L'indice de confiance du consommateur américain mesuré par l'Université du Michigan est ressorti en version définitive en décembre à 70,6 contre 70,4 en première estimation et après 67,4 en novembre.</w:t>
      </w:r>
    </w:p>
    <w:p w14:paraId="2975F525" w14:textId="77777777" w:rsidR="00722418" w:rsidRPr="003A79F1" w:rsidRDefault="00722418" w:rsidP="003A79F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commandes de biens durables ont progressé de 2,5% en novembre alors qu'elles étaient anticipées en hausse de 1,5% après une hausse de 0,1%, chiffre révisé de -0,5% en octobre. Hors transport, elles ont augmenté de 0,8 , mais étaient anticipées à +0,6% contre +0,3% en octobre, chiffre révisé de +0,5%.</w:t>
      </w:r>
    </w:p>
    <w:p w14:paraId="2D4A5B7F" w14:textId="77777777" w:rsidR="00722418" w:rsidRPr="003A79F1" w:rsidRDefault="00722418" w:rsidP="003A79F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L'indice des prix PCE </w:t>
      </w:r>
      <w:proofErr w:type="spellStart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core</w:t>
      </w:r>
      <w:proofErr w:type="spellEnd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, qui est l'une des mesures préférées de l'inflation de la Fed, a augmenté de 0,5% en novembre alors qu'il était attendu en progression de 0,4%. Il avait déjà augmenté de 0,5% en octobre, chiffre révisé de +0,4%.</w:t>
      </w:r>
    </w:p>
    <w:p w14:paraId="18A4D375" w14:textId="77777777" w:rsidR="00722418" w:rsidRPr="003A79F1" w:rsidRDefault="00722418" w:rsidP="003A79F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Les revenus ont augmenté de 0,4% en novembre aux Etats-Unis alors qu'ils étaient anticipés en hausse de 0,4% après +0,5% en octobre. La consommation des ménages augmenté de 0,6% en novembre aux Etats-Unis alors qu'elle était anticipée en hausse de 0,6% après +1,4% en octobre, chiffre révisé de +1,3%.</w:t>
      </w:r>
    </w:p>
    <w:p w14:paraId="0650EB73" w14:textId="583E97D7" w:rsidR="00722418" w:rsidRPr="003A79F1" w:rsidRDefault="00722418" w:rsidP="003A79F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205 000 inscriptions au chômage ont été enregistrées lors de la semaine du 18 décembre, après 205 000 la semaine précédente, chiffre révisé de 206 000. Le consensus s'élève à 206</w:t>
      </w:r>
      <w:r w:rsidR="00DD2F75"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000.</w:t>
      </w:r>
    </w:p>
    <w:p w14:paraId="56B243AD" w14:textId="77777777" w:rsidR="00DD2F75" w:rsidRPr="003A79F1" w:rsidRDefault="00DD2F75" w:rsidP="003A79F1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7AC35C" w14:textId="6E79611E" w:rsidR="00DD2F75" w:rsidRPr="003A79F1" w:rsidRDefault="00DD2F75" w:rsidP="003A79F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9F1">
        <w:rPr>
          <w:rFonts w:ascii="Times New Roman" w:hAnsi="Times New Roman" w:cs="Times New Roman"/>
          <w:sz w:val="24"/>
          <w:szCs w:val="24"/>
        </w:rPr>
        <w:t xml:space="preserve">L'euro est quasi stable face au dollar après </w:t>
      </w:r>
      <w:r w:rsidRPr="003A79F1">
        <w:rPr>
          <w:rFonts w:ascii="Times New Roman" w:hAnsi="Times New Roman" w:cs="Times New Roman"/>
          <w:sz w:val="24"/>
          <w:szCs w:val="24"/>
        </w:rPr>
        <w:t>avoir</w:t>
      </w:r>
      <w:r w:rsidRPr="003A79F1">
        <w:rPr>
          <w:rFonts w:ascii="Times New Roman" w:hAnsi="Times New Roman" w:cs="Times New Roman"/>
          <w:sz w:val="24"/>
          <w:szCs w:val="24"/>
        </w:rPr>
        <w:t xml:space="preserve"> aligné trois séances consécutives de hausse. Selon les économistes, le billet vert devrait se renforcer l'an prochain dans la perspective de la normalisation de la politique monétaire de la Fed. A cet égard, les indicateurs économiques du jour vont dans le sens d'un durcissement, progressif, des conditions monétaires. L'indice des prix "</w:t>
      </w:r>
      <w:proofErr w:type="spellStart"/>
      <w:r w:rsidRPr="003A79F1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3A79F1">
        <w:rPr>
          <w:rFonts w:ascii="Times New Roman" w:hAnsi="Times New Roman" w:cs="Times New Roman"/>
          <w:sz w:val="24"/>
          <w:szCs w:val="24"/>
        </w:rPr>
        <w:t xml:space="preserve"> PCE", mesure de l'inflation très étudiée par la Réserve fédérale, a progressé de 4,7% contre un consensus de 4,5%. Les dépenses des ménages restent solides (+0,6%) comme le marché de l'immobilier.</w:t>
      </w:r>
    </w:p>
    <w:p w14:paraId="1DA4B76C" w14:textId="77777777" w:rsidR="00CE2A19" w:rsidRPr="003A79F1" w:rsidRDefault="00CE2A19" w:rsidP="003A79F1">
      <w:pPr>
        <w:pStyle w:val="Paragraphedeliste"/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fr-FR"/>
        </w:rPr>
      </w:pPr>
    </w:p>
    <w:p w14:paraId="77CDAD54" w14:textId="6B8E8063" w:rsidR="00261D12" w:rsidRPr="00D927B1" w:rsidRDefault="00261D12" w:rsidP="00D927B1">
      <w:pPr>
        <w:shd w:val="clear" w:color="auto" w:fill="FFFFFF"/>
        <w:spacing w:after="15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927B1">
        <w:rPr>
          <w:rFonts w:ascii="Times New Roman" w:hAnsi="Times New Roman" w:cs="Times New Roman"/>
          <w:b/>
          <w:bCs/>
          <w:sz w:val="28"/>
          <w:szCs w:val="28"/>
        </w:rPr>
        <w:t>SOCIETES</w:t>
      </w:r>
    </w:p>
    <w:p w14:paraId="2644BCB9" w14:textId="77777777" w:rsidR="00271B75" w:rsidRPr="003A79F1" w:rsidRDefault="00271B75" w:rsidP="003A79F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Paris, Carmat a gagné 2,24% à 20,50 euros. La </w:t>
      </w:r>
      <w:proofErr w:type="spellStart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medtech</w:t>
      </w:r>
      <w:proofErr w:type="spellEnd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identifié le problème qualité l’ayant conduit à suspendre volontairement, et à titre préventif, les implantations de son cœur artificiel </w:t>
      </w:r>
      <w:proofErr w:type="spellStart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Aeson</w:t>
      </w:r>
      <w:proofErr w:type="spellEnd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3 décembre dernier. Le groupe a également déterminé les changements requis pour éviter que ce problème qualité ne se reproduise. Les résultats </w:t>
      </w: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de cette investigation vont être partagés, à partir de cette semaine, avec l'organisme notifié (DEKRA) et les autorités compétentes (l'ANSM en France et la FDA aux Etats-Unis). </w:t>
      </w:r>
    </w:p>
    <w:p w14:paraId="19EBC3D6" w14:textId="77777777" w:rsidR="00271B75" w:rsidRPr="003A79F1" w:rsidRDefault="00271B75" w:rsidP="003A79F1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6AC008" w14:textId="533E6882" w:rsidR="00271B75" w:rsidRPr="003A79F1" w:rsidRDefault="00271B75" w:rsidP="003A79F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titre Philips a progressé de 2,48% à 31,995 euros. Le groupe d'électronique spécialisé dans la santé et les produits de "Soins personnels" a fait état de résultats favorables pour les tests effectués sur certains appareils de traitement de l'apnée du sommeil, qu'il avait </w:t>
      </w: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dû</w:t>
      </w: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rappeler en début d'année. La firme néerlandaise avait </w:t>
      </w:r>
      <w:proofErr w:type="spellStart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du</w:t>
      </w:r>
      <w:proofErr w:type="spellEnd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passer d'importantes provisions et avait vu son titre chuter en raison des risques associés à ces appareils.</w:t>
      </w:r>
    </w:p>
    <w:p w14:paraId="40F28DE4" w14:textId="77777777" w:rsidR="00D4753E" w:rsidRPr="003A79F1" w:rsidRDefault="00D4753E" w:rsidP="003A79F1">
      <w:pPr>
        <w:pStyle w:val="Paragraphedeliste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F01216" w14:textId="4F0BDA52" w:rsidR="00D4753E" w:rsidRPr="003A79F1" w:rsidRDefault="00D4753E" w:rsidP="003A79F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9F1">
        <w:rPr>
          <w:rFonts w:ascii="Times New Roman" w:hAnsi="Times New Roman" w:cs="Times New Roman"/>
          <w:sz w:val="24"/>
          <w:szCs w:val="24"/>
        </w:rPr>
        <w:t xml:space="preserve">Les constructeurs et les équipementiers automobiles ont été bien orientés à la Bourse de Paris. Ils bénéficient de commentaires favorables de l'équipementier automobile allemand Continental. Ce dernier pourrait atteindre le haut de la fourchette de sa prévision de marge pour 2021 grâce à la reprise de la production de véhicules au quatrième trimestre, a déclaré son président du directoire au magazine </w:t>
      </w:r>
      <w:proofErr w:type="spellStart"/>
      <w:r w:rsidRPr="003A79F1">
        <w:rPr>
          <w:rFonts w:ascii="Times New Roman" w:hAnsi="Times New Roman" w:cs="Times New Roman"/>
          <w:sz w:val="24"/>
          <w:szCs w:val="24"/>
        </w:rPr>
        <w:t>WirtschaftsWoche</w:t>
      </w:r>
      <w:proofErr w:type="spellEnd"/>
      <w:r w:rsidRPr="003A79F1">
        <w:rPr>
          <w:rFonts w:ascii="Times New Roman" w:hAnsi="Times New Roman" w:cs="Times New Roman"/>
          <w:sz w:val="24"/>
          <w:szCs w:val="24"/>
        </w:rPr>
        <w:t>, rapporte Reuters.</w:t>
      </w:r>
    </w:p>
    <w:p w14:paraId="751713AD" w14:textId="77777777" w:rsidR="007A45EA" w:rsidRPr="003A79F1" w:rsidRDefault="007A45EA" w:rsidP="003A79F1">
      <w:pPr>
        <w:pStyle w:val="Paragraphedeliste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24C7A0" w14:textId="77777777" w:rsidR="007A45EA" w:rsidRPr="003A79F1" w:rsidRDefault="007A45EA" w:rsidP="003A79F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Valneva</w:t>
      </w:r>
      <w:proofErr w:type="spellEnd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en discussions avancées avec l'agence de développement économique de l’Écosse " Scottish Enterprise ", pour une subvention de plusieurs millions de livres sterling visant à achever les travaux de construction et de mise en condition opérationnelle de son site de production stratégique de Livingston en Écosse. Suite à la résiliation de l'accord avec le gouvernement britannique (HMG) pour la fourniture du candidat vaccin inactivé de </w:t>
      </w:r>
      <w:proofErr w:type="spellStart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Valneva</w:t>
      </w:r>
      <w:proofErr w:type="spellEnd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contre la Covid-19, VLA2001, </w:t>
      </w:r>
      <w:proofErr w:type="spellStart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Valneva</w:t>
      </w:r>
      <w:proofErr w:type="spellEnd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suspendu les projets d'expansion de son site écossais. </w:t>
      </w:r>
    </w:p>
    <w:p w14:paraId="4F0B2E79" w14:textId="77777777" w:rsidR="007A45EA" w:rsidRPr="003A79F1" w:rsidRDefault="007A45EA" w:rsidP="003A79F1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Valneva</w:t>
      </w:r>
      <w:proofErr w:type="spellEnd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Scottish Enterprise se sont depuis engagés dans un dialogue très constructif visant, par le biais de cette subvention, à faire du site de Livingston un site-clé pour la production de vaccins dans une perspective de long terme.</w:t>
      </w:r>
    </w:p>
    <w:p w14:paraId="7B02C0A1" w14:textId="77777777" w:rsidR="007A45EA" w:rsidRPr="003A79F1" w:rsidRDefault="007A45EA" w:rsidP="003A79F1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Ainsi, </w:t>
      </w:r>
      <w:proofErr w:type="spellStart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Valneva</w:t>
      </w:r>
      <w:proofErr w:type="spellEnd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Scottish Enterprise investiraient conjointement dans la nouvelle usine. La contribution de Scottish Enterprise devrait s'effectuer par le biais d'une série de subventions totalisant 10 à 20 millions de livres sterling afin de permettre à </w:t>
      </w:r>
      <w:proofErr w:type="spellStart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Valneva</w:t>
      </w:r>
      <w:proofErr w:type="spellEnd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commencer la production dans cette usine. </w:t>
      </w:r>
    </w:p>
    <w:p w14:paraId="33A4D72D" w14:textId="77777777" w:rsidR="007A45EA" w:rsidRPr="003A79F1" w:rsidRDefault="007A45EA" w:rsidP="003A79F1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discussions entre </w:t>
      </w:r>
      <w:proofErr w:type="spellStart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Valneva</w:t>
      </w:r>
      <w:proofErr w:type="spellEnd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gouvernement écossais incluent par ailleurs la fourniture possible à l'Ecosse de doses de VLA2001, sous réserve de l'obtention d'une autorisation de mise sur le marché. </w:t>
      </w:r>
    </w:p>
    <w:p w14:paraId="43176F56" w14:textId="77777777" w:rsidR="007A45EA" w:rsidRPr="003A79F1" w:rsidRDefault="007A45EA" w:rsidP="003A79F1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2874BF" w14:textId="77777777" w:rsidR="003A79F1" w:rsidRPr="003A79F1" w:rsidRDefault="003A79F1" w:rsidP="003A79F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Crocs a acquis le fabricant italien de chaussures </w:t>
      </w:r>
      <w:proofErr w:type="spellStart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Heydude</w:t>
      </w:r>
      <w:proofErr w:type="spellEnd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2,5 milliards de dollars. L'opération sera financée par 2,05 milliards de dollars en espèces et 450 millions de dollars d'actions Crocs. "Avec l'acquisition de </w:t>
      </w:r>
      <w:proofErr w:type="spellStart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Heydude</w:t>
      </w:r>
      <w:proofErr w:type="spellEnd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nous sommes ravis d'ajouter une autre marque à forte croissance et très rentable à notre portefeuille", a déclaré Andrew Rees, directeur général de Crocs, dans un communiqué de presse. "Nous pensons que les produits décontractés, confortables et légers de </w:t>
      </w:r>
      <w:proofErr w:type="spellStart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Heydude</w:t>
      </w:r>
      <w:proofErr w:type="spellEnd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alignés sur les tendances de consommation à long terme et conviennent parfaitement à Crocs." </w:t>
      </w:r>
    </w:p>
    <w:p w14:paraId="771385D8" w14:textId="77777777" w:rsidR="003A79F1" w:rsidRPr="003A79F1" w:rsidRDefault="003A79F1" w:rsidP="003A79F1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Fondée en Italie en 2008, </w:t>
      </w:r>
      <w:proofErr w:type="spellStart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Heydude</w:t>
      </w:r>
      <w:proofErr w:type="spellEnd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fabrique des chaussures légères et décontractées telles que des "slip-</w:t>
      </w:r>
      <w:proofErr w:type="spellStart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>ons</w:t>
      </w:r>
      <w:proofErr w:type="spellEnd"/>
      <w:r w:rsidRPr="003A7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 (comme des Vans) pour hommes, femmes et enfants, dont le prix avoisine les 60 dollars. </w:t>
      </w:r>
    </w:p>
    <w:p w14:paraId="7FF09D48" w14:textId="19EEBB05" w:rsidR="00C92368" w:rsidRPr="003A79F1" w:rsidRDefault="00CE2A19" w:rsidP="003A79F1">
      <w:pPr>
        <w:pStyle w:val="Paragraphedeliste"/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fr-FR"/>
        </w:rPr>
      </w:pPr>
      <w:r w:rsidRPr="003A79F1">
        <w:rPr>
          <w:rFonts w:ascii="Times New Roman" w:eastAsia="Times New Roman" w:hAnsi="Times New Roman" w:cs="Times New Roman"/>
          <w:color w:val="464646"/>
          <w:sz w:val="24"/>
          <w:szCs w:val="24"/>
          <w:lang w:eastAsia="fr-FR"/>
        </w:rPr>
        <w:t xml:space="preserve"> </w:t>
      </w:r>
    </w:p>
    <w:p w14:paraId="5CBAEB44" w14:textId="1A6D96BD" w:rsidR="00377F70" w:rsidRPr="00D927B1" w:rsidRDefault="00377F70" w:rsidP="00D927B1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textAlignment w:val="baseline"/>
        <w:rPr>
          <w:b/>
          <w:bCs/>
          <w:sz w:val="28"/>
          <w:szCs w:val="28"/>
        </w:rPr>
      </w:pPr>
      <w:r w:rsidRPr="00D927B1">
        <w:rPr>
          <w:b/>
          <w:bCs/>
          <w:sz w:val="28"/>
          <w:szCs w:val="28"/>
        </w:rPr>
        <w:t>ANALYSES</w:t>
      </w:r>
    </w:p>
    <w:p w14:paraId="36906846" w14:textId="77777777" w:rsidR="00C7038C" w:rsidRPr="0078493E" w:rsidRDefault="006C23E1" w:rsidP="0078493E">
      <w:pPr>
        <w:pStyle w:val="sc-14kwckt-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8493E">
        <w:rPr>
          <w:color w:val="212121"/>
        </w:rPr>
        <w:t xml:space="preserve">De record en record. Les industriels français ont vu leurs coûts de production flamber de 3 % en novembre, après 2,8 % en octobre, selon les chiffres publiés ce mercredi par </w:t>
      </w:r>
      <w:r w:rsidRPr="0078493E">
        <w:rPr>
          <w:color w:val="212121"/>
        </w:rPr>
        <w:lastRenderedPageBreak/>
        <w:t>l'Insee. Sur un an, la hausse atteint désormais 16,3 %. Un niveau inédit depuis janvier 1995.</w:t>
      </w:r>
    </w:p>
    <w:p w14:paraId="0D0C6E83" w14:textId="77777777" w:rsidR="00C7038C" w:rsidRPr="0078493E" w:rsidRDefault="006C23E1" w:rsidP="0078493E">
      <w:pPr>
        <w:pStyle w:val="sc-14kwckt-6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 w:rsidRPr="0078493E">
        <w:rPr>
          <w:color w:val="212121"/>
        </w:rPr>
        <w:t>Comme ailleurs dans le monde</w:t>
      </w:r>
      <w:r w:rsidRPr="0078493E">
        <w:rPr>
          <w:color w:val="212121"/>
        </w:rPr>
        <w:t>, ce renchérissement des coûts s'explique par l'envolée des prix de l'énergie ainsi que de certaines matières premières et par les pénuries qui entravent la production. A l'automne, la désorganisation des chaînes d'approvisionnement a atteint un pic et, de l'avis de tous les économistes, ces tensions ne se résorberont que très lentement.</w:t>
      </w:r>
    </w:p>
    <w:p w14:paraId="1FB32E43" w14:textId="77777777" w:rsidR="00C7038C" w:rsidRPr="0078493E" w:rsidRDefault="006C23E1" w:rsidP="0078493E">
      <w:pPr>
        <w:pStyle w:val="sc-14kwckt-6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 w:rsidRPr="0078493E">
        <w:rPr>
          <w:color w:val="212121"/>
        </w:rPr>
        <w:t>Sur un mois, les prix de production, de transport et de distribution d'électricité affichent une hausse de 15,6 % « en raison du passage aux tarifs d'hiver et aussi de hausses persistantes sur des prix sur les marchés de gros », souligne l'Insee.</w:t>
      </w:r>
    </w:p>
    <w:p w14:paraId="7466542B" w14:textId="77777777" w:rsidR="00C7038C" w:rsidRPr="0078493E" w:rsidRDefault="006C23E1" w:rsidP="0078493E">
      <w:pPr>
        <w:pStyle w:val="sc-14kwckt-6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 w:rsidRPr="0078493E">
        <w:rPr>
          <w:color w:val="212121"/>
        </w:rPr>
        <w:t>Cette remontée des coûts est également perceptible pour les produits chimiques (+4,6 % sur un mois), le papier carton (+1,6 %) et les produits métallurgiques (+1 %). Elle touche aussi les « produits alimentaires et boissons », dont les prix augmentent de 0,8 % sur un mois et de 3,8 % sur un an ainsi que les biens manufacturés (respectivement +0,6 % et +9 %). En revanche, avec l'assagissement des cours du pétrole, les prix des produits de raffinage se replient.</w:t>
      </w:r>
    </w:p>
    <w:p w14:paraId="1C2E94B3" w14:textId="77777777" w:rsidR="00C7038C" w:rsidRPr="0078493E" w:rsidRDefault="006C23E1" w:rsidP="0078493E">
      <w:pPr>
        <w:pStyle w:val="sc-14kwckt-6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 w:rsidRPr="0078493E">
        <w:rPr>
          <w:color w:val="212121"/>
        </w:rPr>
        <w:t>Pour l'heure, les entreprises ne semblent pas avoir relevé leurs prix. « Entre septembre et novembre, les prix à la consommation des produits manufacturés n'ont en moyenne augmenté que de 0,5 % sur un an », relève l'institut de statistiques dans sa dernière note de conjoncture, intitulée </w:t>
      </w:r>
      <w:r w:rsidR="00C7038C" w:rsidRPr="0078493E">
        <w:rPr>
          <w:color w:val="212121"/>
        </w:rPr>
        <w:t>« Reprise sous contrainte »</w:t>
      </w:r>
      <w:r w:rsidRPr="0078493E">
        <w:rPr>
          <w:color w:val="212121"/>
        </w:rPr>
        <w:t>, tout en rappelant que « la hausse de prix de production ne se répercute pas de façon immédiate ni complète ».</w:t>
      </w:r>
    </w:p>
    <w:p w14:paraId="28966373" w14:textId="77777777" w:rsidR="0078493E" w:rsidRPr="0078493E" w:rsidRDefault="006C23E1" w:rsidP="0078493E">
      <w:pPr>
        <w:pStyle w:val="sc-14kwckt-6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 w:rsidRPr="0078493E">
        <w:rPr>
          <w:color w:val="212121"/>
        </w:rPr>
        <w:t>Mais cette situation ne devrait pas durer. Toutes les enquêtes montrent que les industriels entendent répercuter le renchérissement des coûts qu'ils subissent sur leurs prix de vente. Reste à savoir quelle sera la part qui se retrouvera dans les étiquettes.</w:t>
      </w:r>
    </w:p>
    <w:p w14:paraId="3077B70C" w14:textId="77777777" w:rsidR="0078493E" w:rsidRPr="0078493E" w:rsidRDefault="006C23E1" w:rsidP="0078493E">
      <w:pPr>
        <w:pStyle w:val="sc-14kwckt-6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 w:rsidRPr="0078493E">
        <w:rPr>
          <w:color w:val="212121"/>
        </w:rPr>
        <w:t>Dans ses dernières projections, l'Insee estime que la hausse des prix atteindra 1,8 % pour les biens manufacturés et 2,4 % pour les produits alimentaires en glissement annuel en juin 2022. Ce qui nourrira l'inflation.</w:t>
      </w:r>
    </w:p>
    <w:p w14:paraId="7B6212E2" w14:textId="77777777" w:rsidR="0078493E" w:rsidRPr="0078493E" w:rsidRDefault="006C23E1" w:rsidP="0078493E">
      <w:pPr>
        <w:pStyle w:val="sc-14kwckt-6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 w:rsidRPr="0078493E">
        <w:rPr>
          <w:color w:val="212121"/>
        </w:rPr>
        <w:t>Toujours selon les prévisions de l'Insee, l'inflation sous-jacente - hors énergie et alimentaire - progresserait au cours des six premiers mois de 2022 pour s'établir à 2,2 % sur un an en juin. Les cours de l'énergie pourraient, en revanche, se calmer.</w:t>
      </w:r>
    </w:p>
    <w:p w14:paraId="44AF27C2" w14:textId="43A961E4" w:rsidR="006C23E1" w:rsidRPr="0078493E" w:rsidRDefault="006C23E1" w:rsidP="0078493E">
      <w:pPr>
        <w:pStyle w:val="sc-14kwckt-6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 w:rsidRPr="0078493E">
        <w:rPr>
          <w:color w:val="212121"/>
        </w:rPr>
        <w:t>Signe de la fébrilité de l'exécutif, </w:t>
      </w:r>
      <w:r w:rsidR="0078493E" w:rsidRPr="0078493E">
        <w:rPr>
          <w:color w:val="212121"/>
        </w:rPr>
        <w:t>Bercy a annoncé il y a quelques jours un plan pour aider</w:t>
      </w:r>
      <w:r w:rsidRPr="0078493E">
        <w:rPr>
          <w:color w:val="212121"/>
        </w:rPr>
        <w:t> les industriels à surmonter leurs difficultés d'approvisionnement. Cette situation pèse, il est vrai, sur l'investissement des entreprises. Depuis l'été, il a nettement ralenti et ne devrait progresser que très modestement au premier semestre 2022 (+0,3 % attendu au premier trimestre).</w:t>
      </w:r>
    </w:p>
    <w:p w14:paraId="36807A9F" w14:textId="77777777" w:rsidR="00D927B1" w:rsidRPr="0078493E" w:rsidRDefault="00D927B1" w:rsidP="0078493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51849A6C" w14:textId="77777777" w:rsidR="00BC51B9" w:rsidRPr="0078493E" w:rsidRDefault="00BC51B9" w:rsidP="0078493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76BE7B20" w14:textId="6149649A" w:rsidR="00261D12" w:rsidRDefault="00261D12" w:rsidP="001A3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35C">
        <w:rPr>
          <w:rFonts w:ascii="Times New Roman" w:hAnsi="Times New Roman" w:cs="Times New Roman"/>
          <w:b/>
          <w:bCs/>
          <w:sz w:val="28"/>
          <w:szCs w:val="28"/>
        </w:rPr>
        <w:t xml:space="preserve">L’AGENDA DU </w:t>
      </w:r>
      <w:r w:rsidR="008407B7">
        <w:rPr>
          <w:rFonts w:ascii="Times New Roman" w:hAnsi="Times New Roman" w:cs="Times New Roman"/>
          <w:b/>
          <w:bCs/>
          <w:sz w:val="28"/>
          <w:szCs w:val="28"/>
        </w:rPr>
        <w:t>24 décembre</w:t>
      </w:r>
      <w:r w:rsidR="00CE2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2926" w:rsidRPr="001A335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069C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72FC9EE" w14:textId="77777777" w:rsidR="00017D00" w:rsidRDefault="00017D00" w:rsidP="007E43CD">
      <w:pPr>
        <w:pStyle w:val="NormalWeb"/>
        <w:ind w:firstLine="708"/>
      </w:pPr>
      <w:r>
        <w:t>Les marchés sont fermés en Allemagne et aux Etats-Unis.</w:t>
      </w:r>
    </w:p>
    <w:p w14:paraId="4F625AC5" w14:textId="77777777" w:rsidR="00017D00" w:rsidRDefault="00017D00" w:rsidP="007E43CD">
      <w:pPr>
        <w:pStyle w:val="NormalWeb"/>
        <w:ind w:firstLine="708"/>
      </w:pPr>
      <w:r>
        <w:t>Clôture avancée à 14h05 sur Euronext.</w:t>
      </w:r>
    </w:p>
    <w:p w14:paraId="245C74CC" w14:textId="77777777" w:rsidR="002539F4" w:rsidRPr="00017D00" w:rsidRDefault="002539F4" w:rsidP="00017D00">
      <w:pPr>
        <w:rPr>
          <w:rFonts w:ascii="Times New Roman" w:hAnsi="Times New Roman" w:cs="Times New Roman"/>
          <w:sz w:val="28"/>
          <w:szCs w:val="28"/>
        </w:rPr>
      </w:pPr>
    </w:p>
    <w:sectPr w:rsidR="002539F4" w:rsidRPr="0001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6CBF"/>
    <w:multiLevelType w:val="hybridMultilevel"/>
    <w:tmpl w:val="C4A0D8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03E6"/>
    <w:multiLevelType w:val="hybridMultilevel"/>
    <w:tmpl w:val="CFD268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52302"/>
    <w:multiLevelType w:val="hybridMultilevel"/>
    <w:tmpl w:val="60CA8FB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D234F3"/>
    <w:multiLevelType w:val="hybridMultilevel"/>
    <w:tmpl w:val="2556AEE0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8106162"/>
    <w:multiLevelType w:val="hybridMultilevel"/>
    <w:tmpl w:val="950C6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12"/>
    <w:rsid w:val="00005DF1"/>
    <w:rsid w:val="00017D00"/>
    <w:rsid w:val="000457D2"/>
    <w:rsid w:val="00076DC9"/>
    <w:rsid w:val="00095FB6"/>
    <w:rsid w:val="001070E7"/>
    <w:rsid w:val="001119B0"/>
    <w:rsid w:val="00154A6F"/>
    <w:rsid w:val="00184438"/>
    <w:rsid w:val="001A335C"/>
    <w:rsid w:val="001B24C4"/>
    <w:rsid w:val="001E7353"/>
    <w:rsid w:val="002119DB"/>
    <w:rsid w:val="00232AAD"/>
    <w:rsid w:val="00245F8A"/>
    <w:rsid w:val="00250F2A"/>
    <w:rsid w:val="00252C56"/>
    <w:rsid w:val="002539F4"/>
    <w:rsid w:val="00261D12"/>
    <w:rsid w:val="00271B75"/>
    <w:rsid w:val="00281D2C"/>
    <w:rsid w:val="002B30C3"/>
    <w:rsid w:val="0031150B"/>
    <w:rsid w:val="0034098E"/>
    <w:rsid w:val="00342926"/>
    <w:rsid w:val="00377F70"/>
    <w:rsid w:val="00382693"/>
    <w:rsid w:val="003905BF"/>
    <w:rsid w:val="00393437"/>
    <w:rsid w:val="003A5FF6"/>
    <w:rsid w:val="003A6AA7"/>
    <w:rsid w:val="003A79F1"/>
    <w:rsid w:val="003D0DEC"/>
    <w:rsid w:val="004111E9"/>
    <w:rsid w:val="0042017D"/>
    <w:rsid w:val="00420F90"/>
    <w:rsid w:val="0042309E"/>
    <w:rsid w:val="00425CE9"/>
    <w:rsid w:val="0043748E"/>
    <w:rsid w:val="004A4172"/>
    <w:rsid w:val="004D246E"/>
    <w:rsid w:val="004E602C"/>
    <w:rsid w:val="00501573"/>
    <w:rsid w:val="00514936"/>
    <w:rsid w:val="00523B44"/>
    <w:rsid w:val="0052452F"/>
    <w:rsid w:val="0052668B"/>
    <w:rsid w:val="00536FF0"/>
    <w:rsid w:val="0053796F"/>
    <w:rsid w:val="0058796B"/>
    <w:rsid w:val="00592518"/>
    <w:rsid w:val="005A4299"/>
    <w:rsid w:val="005B21A9"/>
    <w:rsid w:val="005F1191"/>
    <w:rsid w:val="00643302"/>
    <w:rsid w:val="0065405E"/>
    <w:rsid w:val="00662C34"/>
    <w:rsid w:val="00666D40"/>
    <w:rsid w:val="006717EB"/>
    <w:rsid w:val="006C23E1"/>
    <w:rsid w:val="006E1AFE"/>
    <w:rsid w:val="00722418"/>
    <w:rsid w:val="007311E1"/>
    <w:rsid w:val="00750611"/>
    <w:rsid w:val="00774252"/>
    <w:rsid w:val="0078493E"/>
    <w:rsid w:val="007A1184"/>
    <w:rsid w:val="007A45EA"/>
    <w:rsid w:val="007A5257"/>
    <w:rsid w:val="007B5872"/>
    <w:rsid w:val="007C0DFB"/>
    <w:rsid w:val="007E1A9B"/>
    <w:rsid w:val="007E43CD"/>
    <w:rsid w:val="007E4776"/>
    <w:rsid w:val="008407B7"/>
    <w:rsid w:val="00845B07"/>
    <w:rsid w:val="008545BC"/>
    <w:rsid w:val="008559E1"/>
    <w:rsid w:val="0090180A"/>
    <w:rsid w:val="00904808"/>
    <w:rsid w:val="00923F26"/>
    <w:rsid w:val="009343BE"/>
    <w:rsid w:val="0093521B"/>
    <w:rsid w:val="00950739"/>
    <w:rsid w:val="00962D6B"/>
    <w:rsid w:val="00972B8B"/>
    <w:rsid w:val="00973F0B"/>
    <w:rsid w:val="00995449"/>
    <w:rsid w:val="00995A0B"/>
    <w:rsid w:val="009967C8"/>
    <w:rsid w:val="00997CAB"/>
    <w:rsid w:val="00A14AAE"/>
    <w:rsid w:val="00A63730"/>
    <w:rsid w:val="00A752C8"/>
    <w:rsid w:val="00A95749"/>
    <w:rsid w:val="00AA35BF"/>
    <w:rsid w:val="00AB111E"/>
    <w:rsid w:val="00AC4A8C"/>
    <w:rsid w:val="00AE4C61"/>
    <w:rsid w:val="00B069C2"/>
    <w:rsid w:val="00B3726B"/>
    <w:rsid w:val="00B62141"/>
    <w:rsid w:val="00BC51B9"/>
    <w:rsid w:val="00C04554"/>
    <w:rsid w:val="00C12973"/>
    <w:rsid w:val="00C1699B"/>
    <w:rsid w:val="00C30549"/>
    <w:rsid w:val="00C45089"/>
    <w:rsid w:val="00C45F11"/>
    <w:rsid w:val="00C57C59"/>
    <w:rsid w:val="00C7038C"/>
    <w:rsid w:val="00C92368"/>
    <w:rsid w:val="00C935F2"/>
    <w:rsid w:val="00CE2A19"/>
    <w:rsid w:val="00CF7DE6"/>
    <w:rsid w:val="00D11D81"/>
    <w:rsid w:val="00D4753E"/>
    <w:rsid w:val="00D73964"/>
    <w:rsid w:val="00D773DB"/>
    <w:rsid w:val="00D84A99"/>
    <w:rsid w:val="00D927B1"/>
    <w:rsid w:val="00DD2F75"/>
    <w:rsid w:val="00E1589C"/>
    <w:rsid w:val="00E45027"/>
    <w:rsid w:val="00E57F64"/>
    <w:rsid w:val="00E94C51"/>
    <w:rsid w:val="00E976CD"/>
    <w:rsid w:val="00EA596F"/>
    <w:rsid w:val="00F05A79"/>
    <w:rsid w:val="00F374E7"/>
    <w:rsid w:val="00F66F96"/>
    <w:rsid w:val="00F8139D"/>
    <w:rsid w:val="00FC7705"/>
    <w:rsid w:val="00FD1931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6057"/>
  <w15:chartTrackingRefBased/>
  <w15:docId w15:val="{23F5925C-0DD0-408B-9687-5E07D1CD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semiHidden/>
    <w:unhideWhenUsed/>
    <w:qFormat/>
    <w:rsid w:val="00261D12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2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1D1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261D12"/>
    <w:rPr>
      <w:rFonts w:ascii="Calibri" w:hAnsi="Calibri" w:cs="Calibri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261D12"/>
    <w:rPr>
      <w:b/>
      <w:bCs/>
    </w:rPr>
  </w:style>
  <w:style w:type="paragraph" w:customStyle="1" w:styleId="bodytext">
    <w:name w:val="bodytext"/>
    <w:basedOn w:val="Normal"/>
    <w:rsid w:val="009967C8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styleId="NormalWeb">
    <w:name w:val="Normal (Web)"/>
    <w:basedOn w:val="Normal"/>
    <w:uiPriority w:val="99"/>
    <w:unhideWhenUsed/>
    <w:rsid w:val="00F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iffrejour-gros">
    <w:name w:val="chiffrejour-gros"/>
    <w:basedOn w:val="Normal"/>
    <w:rsid w:val="002539F4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styleId="Rvision">
    <w:name w:val="Revision"/>
    <w:hidden/>
    <w:uiPriority w:val="99"/>
    <w:semiHidden/>
    <w:rsid w:val="00C3054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549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6C23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c-14kwckt-6">
    <w:name w:val="sc-14kwckt-6"/>
    <w:basedOn w:val="Normal"/>
    <w:rsid w:val="006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2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6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231">
          <w:marLeft w:val="150"/>
          <w:marRight w:val="15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1408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Finances coop</dc:creator>
  <cp:keywords/>
  <dc:description/>
  <cp:lastModifiedBy>Christine Kerboull union-finances-grains</cp:lastModifiedBy>
  <cp:revision>16</cp:revision>
  <dcterms:created xsi:type="dcterms:W3CDTF">2021-12-23T22:14:00Z</dcterms:created>
  <dcterms:modified xsi:type="dcterms:W3CDTF">2021-12-23T22:56:00Z</dcterms:modified>
</cp:coreProperties>
</file>