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321D2B62"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1C0D11">
        <w:rPr>
          <w:rFonts w:ascii="Times New Roman" w:hAnsi="Times New Roman" w:cs="Times New Roman"/>
          <w:b/>
          <w:bCs/>
          <w:sz w:val="28"/>
          <w:szCs w:val="28"/>
        </w:rPr>
        <w:t>4</w:t>
      </w:r>
      <w:r w:rsidR="00245F8A">
        <w:rPr>
          <w:rFonts w:ascii="Times New Roman" w:hAnsi="Times New Roman" w:cs="Times New Roman"/>
          <w:b/>
          <w:bCs/>
          <w:sz w:val="28"/>
          <w:szCs w:val="28"/>
        </w:rPr>
        <w:t xml:space="preserve"> </w:t>
      </w:r>
      <w:r w:rsidR="00252C56">
        <w:rPr>
          <w:rFonts w:ascii="Times New Roman" w:hAnsi="Times New Roman" w:cs="Times New Roman"/>
          <w:b/>
          <w:bCs/>
          <w:sz w:val="28"/>
          <w:szCs w:val="28"/>
        </w:rPr>
        <w:t>janvier 202</w:t>
      </w:r>
      <w:r w:rsidR="001C0D11">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25E4132" w14:textId="77777777" w:rsidR="00DA52BA" w:rsidRPr="007323CC" w:rsidRDefault="00DA52BA" w:rsidP="007323C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23CC">
        <w:rPr>
          <w:rFonts w:ascii="Times New Roman" w:eastAsia="Times New Roman" w:hAnsi="Times New Roman" w:cs="Times New Roman"/>
          <w:color w:val="555555"/>
          <w:sz w:val="24"/>
          <w:szCs w:val="24"/>
          <w:lang w:eastAsia="fr-FR"/>
        </w:rPr>
        <w:t>Les Bourses européennes ont sévèrement dévissé ce lundi, les investisseurs s’inquiétant des tensions grandissantes entre la Russie et l’Occident sur le dossier ukrainien. Au son de la cloche, le CAC 40 a ainsi chuté de 3,97% à 6 787,79 points et l’</w:t>
      </w:r>
      <w:proofErr w:type="spellStart"/>
      <w:r w:rsidRPr="007323CC">
        <w:rPr>
          <w:rFonts w:ascii="Times New Roman" w:eastAsia="Times New Roman" w:hAnsi="Times New Roman" w:cs="Times New Roman"/>
          <w:color w:val="555555"/>
          <w:sz w:val="24"/>
          <w:szCs w:val="24"/>
          <w:lang w:eastAsia="fr-FR"/>
        </w:rPr>
        <w:t>EuroStoxx</w:t>
      </w:r>
      <w:proofErr w:type="spellEnd"/>
      <w:r w:rsidRPr="007323CC">
        <w:rPr>
          <w:rFonts w:ascii="Times New Roman" w:eastAsia="Times New Roman" w:hAnsi="Times New Roman" w:cs="Times New Roman"/>
          <w:color w:val="555555"/>
          <w:sz w:val="24"/>
          <w:szCs w:val="24"/>
          <w:lang w:eastAsia="fr-FR"/>
        </w:rPr>
        <w:t xml:space="preserve"> 50 a perdu -3,76% à 4 070,37 points. A Wall Street, l’heure est également à l’orage. En fin d’après-midi, le Dow Jones recule de 2,80% et le Nasdaq Composite lâche 4,16%.</w:t>
      </w:r>
    </w:p>
    <w:p w14:paraId="44F7DF20" w14:textId="77777777" w:rsidR="00DA52BA" w:rsidRPr="007323CC" w:rsidRDefault="00DA52BA" w:rsidP="007323C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23CC">
        <w:rPr>
          <w:rFonts w:ascii="Times New Roman" w:eastAsia="Times New Roman" w:hAnsi="Times New Roman" w:cs="Times New Roman"/>
          <w:color w:val="555555"/>
          <w:sz w:val="24"/>
          <w:szCs w:val="24"/>
          <w:lang w:eastAsia="fr-FR"/>
        </w:rPr>
        <w:t>Sur les places du Vieux Continent, la séance fut dominée par les craintes des opérateurs face au bras de fer de plus en musclé opposant la Russie et l'Occident à propos de l'Ukraine. L'Otan a mis ses forces en état d'alerte et envoyé des renforts en Europe de l'Est. De son côté, la marine russe a entamé des exercices en mer Baltique. Une escalade qui inquiète.</w:t>
      </w:r>
    </w:p>
    <w:p w14:paraId="74379ECC" w14:textId="77777777" w:rsidR="00DA52BA" w:rsidRPr="007323CC" w:rsidRDefault="00DA52BA" w:rsidP="007323C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23CC">
        <w:rPr>
          <w:rFonts w:ascii="Times New Roman" w:eastAsia="Times New Roman" w:hAnsi="Times New Roman" w:cs="Times New Roman"/>
          <w:color w:val="555555"/>
          <w:sz w:val="24"/>
          <w:szCs w:val="24"/>
          <w:lang w:eastAsia="fr-FR"/>
        </w:rPr>
        <w:t>L'aversion pour le risque qui a déferlé sur les marchés actions a également été alimentée par la proximité de la décision de politique monétaire de la Fed. Les investisseurs attendent des informations concernant le calendrier de la hausse des taux et la réduction du bilan.</w:t>
      </w:r>
    </w:p>
    <w:p w14:paraId="14D3DF97" w14:textId="77777777" w:rsidR="00DA52BA" w:rsidRPr="007323CC" w:rsidRDefault="00DA52BA" w:rsidP="007323C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23CC">
        <w:rPr>
          <w:rFonts w:ascii="Times New Roman" w:eastAsia="Times New Roman" w:hAnsi="Times New Roman" w:cs="Times New Roman"/>
          <w:color w:val="555555"/>
          <w:sz w:val="24"/>
          <w:szCs w:val="24"/>
          <w:lang w:eastAsia="fr-FR"/>
        </w:rPr>
        <w:t xml:space="preserve">Sur le front statistique, l'heure n'était pas non plus à la joie, avec des indicateurs illustrant l'impact du variant Omicron sur l'économie. Dans la zone euro, la croissance de l'activité du secteur privé a ralenti en janvier pour le deuxième mois consécutif, selon les PMI préliminaires d'IHS </w:t>
      </w:r>
      <w:proofErr w:type="spellStart"/>
      <w:r w:rsidRPr="007323CC">
        <w:rPr>
          <w:rFonts w:ascii="Times New Roman" w:eastAsia="Times New Roman" w:hAnsi="Times New Roman" w:cs="Times New Roman"/>
          <w:color w:val="555555"/>
          <w:sz w:val="24"/>
          <w:szCs w:val="24"/>
          <w:lang w:eastAsia="fr-FR"/>
        </w:rPr>
        <w:t>Markit</w:t>
      </w:r>
      <w:proofErr w:type="spellEnd"/>
      <w:r w:rsidRPr="007323CC">
        <w:rPr>
          <w:rFonts w:ascii="Times New Roman" w:eastAsia="Times New Roman" w:hAnsi="Times New Roman" w:cs="Times New Roman"/>
          <w:color w:val="555555"/>
          <w:sz w:val="24"/>
          <w:szCs w:val="24"/>
          <w:lang w:eastAsia="fr-FR"/>
        </w:rPr>
        <w:t>. Le PMI Composite est ainsi ressorti à 52,4 contre un consensus de 52,6 et après 53,3 en décembre 2021.</w:t>
      </w:r>
    </w:p>
    <w:p w14:paraId="1F35517D" w14:textId="77777777" w:rsidR="00DA52BA" w:rsidRPr="007323CC" w:rsidRDefault="00DA52BA" w:rsidP="007323C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23CC">
        <w:rPr>
          <w:rFonts w:ascii="Times New Roman" w:eastAsia="Times New Roman" w:hAnsi="Times New Roman" w:cs="Times New Roman"/>
          <w:color w:val="555555"/>
          <w:sz w:val="24"/>
          <w:szCs w:val="24"/>
          <w:lang w:eastAsia="fr-FR"/>
        </w:rPr>
        <w:t>Aux Etats-Unis, le PMI Composite a reculé à 50,8 en janvier, contre 57,6 en décembre. Cela représente un plus bas de 18 mois.</w:t>
      </w:r>
    </w:p>
    <w:p w14:paraId="7471BEB2" w14:textId="77777777" w:rsidR="00DE13CA" w:rsidRPr="007323CC" w:rsidRDefault="00DE13CA" w:rsidP="007323C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38DB17F1" w:rsidR="009343BE" w:rsidRPr="007323CC" w:rsidRDefault="00B3139B" w:rsidP="007323C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323CC">
        <w:rPr>
          <w:rFonts w:ascii="Times New Roman" w:hAnsi="Times New Roman" w:cs="Times New Roman"/>
          <w:color w:val="555555"/>
          <w:sz w:val="24"/>
          <w:szCs w:val="24"/>
          <w:shd w:val="clear" w:color="auto" w:fill="FFFFFF"/>
        </w:rPr>
        <w:t>Le cours du baril de WTI américain cède 2,3% à 83,2 dollars tandis que son homologue européen, le Brent de la mer du Nord, perd 1,9% à 86,2 dollars. Le pétrole, comme le reste des actifs à risque, souffre du regain de nervosité des marchés lié aux conclusions de la réunion de politique monétaire de la Fed, mercredi soir. Une volatilité renforcée par les tensions grandissantes entre l'Occident et la Russie à propos de l'Ukraine et par le conflit au Yémen.</w:t>
      </w:r>
      <w:r w:rsidR="009343BE" w:rsidRPr="007323CC">
        <w:rPr>
          <w:rFonts w:ascii="Times New Roman" w:hAnsi="Times New Roman" w:cs="Times New Roman"/>
          <w:color w:val="464646"/>
          <w:sz w:val="24"/>
          <w:szCs w:val="24"/>
          <w:shd w:val="clear" w:color="auto" w:fill="FFFFFF"/>
        </w:rPr>
        <w:t xml:space="preserve"> </w:t>
      </w:r>
    </w:p>
    <w:p w14:paraId="6E22B46D" w14:textId="77777777" w:rsidR="009343BE" w:rsidRPr="007323CC" w:rsidRDefault="009343BE" w:rsidP="007323CC">
      <w:pPr>
        <w:pStyle w:val="Paragraphedeliste"/>
        <w:jc w:val="both"/>
        <w:rPr>
          <w:rFonts w:ascii="Times New Roman" w:eastAsia="Times New Roman" w:hAnsi="Times New Roman" w:cs="Times New Roman"/>
          <w:color w:val="464646"/>
          <w:sz w:val="24"/>
          <w:szCs w:val="24"/>
          <w:lang w:eastAsia="fr-FR"/>
        </w:rPr>
      </w:pPr>
    </w:p>
    <w:p w14:paraId="133F9681" w14:textId="75E15317" w:rsidR="00232AAD" w:rsidRPr="007323CC" w:rsidRDefault="005A52D2" w:rsidP="007323C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323CC">
        <w:rPr>
          <w:rFonts w:ascii="Times New Roman" w:hAnsi="Times New Roman" w:cs="Times New Roman"/>
          <w:color w:val="555555"/>
          <w:sz w:val="24"/>
          <w:szCs w:val="24"/>
          <w:shd w:val="clear" w:color="auto" w:fill="FFFFFF"/>
        </w:rPr>
        <w:t>Déjà affaiblies en fin de semaine dernière sur fond de hausse de l'aversion pour le risque, les cryptomonnaies ont continué de reculer pendant le week-end. La correction intervient alors que la Fed va commencer à normaliser sa politique monétaire, marquant le début de la fin pour le flot d'argent déversé par les Banques centrales pour faire face à la crise du Covid. La plus célèbre des cryptomonnaies, le Bitcoin, perd encore près 5% à 33 617 dollars, portant ses pertes par rapport à son plus haut de début novembre à 50%.</w:t>
      </w:r>
      <w:r w:rsidR="00CE2A19" w:rsidRPr="007323CC">
        <w:rPr>
          <w:rFonts w:ascii="Times New Roman" w:eastAsia="Times New Roman" w:hAnsi="Times New Roman" w:cs="Times New Roman"/>
          <w:color w:val="464646"/>
          <w:sz w:val="24"/>
          <w:szCs w:val="24"/>
          <w:lang w:eastAsia="fr-FR"/>
        </w:rPr>
        <w:t xml:space="preserve"> </w:t>
      </w:r>
    </w:p>
    <w:p w14:paraId="4C3409A9" w14:textId="77777777" w:rsidR="00CE2A19" w:rsidRPr="007323CC" w:rsidRDefault="00CE2A19" w:rsidP="007323CC">
      <w:pPr>
        <w:pStyle w:val="Paragraphedeliste"/>
        <w:jc w:val="both"/>
        <w:rPr>
          <w:rFonts w:ascii="Times New Roman" w:eastAsia="Times New Roman" w:hAnsi="Times New Roman" w:cs="Times New Roman"/>
          <w:color w:val="464646"/>
          <w:sz w:val="24"/>
          <w:szCs w:val="24"/>
          <w:lang w:eastAsia="fr-FR"/>
        </w:rPr>
      </w:pPr>
    </w:p>
    <w:p w14:paraId="1238BA2B" w14:textId="77777777" w:rsidR="00CA4B61" w:rsidRPr="007323CC" w:rsidRDefault="00CA4B61" w:rsidP="007323CC">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7323CC">
        <w:rPr>
          <w:rFonts w:ascii="Times New Roman" w:eastAsia="Times New Roman" w:hAnsi="Times New Roman" w:cs="Times New Roman"/>
          <w:color w:val="555555"/>
          <w:sz w:val="24"/>
          <w:szCs w:val="24"/>
          <w:lang w:eastAsia="fr-FR"/>
        </w:rPr>
        <w:t xml:space="preserve">La croissance du secteur privé français a de nouveau marqué le pas en début d’année 2022, selon les données préliminaires du bureau d’études IHS </w:t>
      </w:r>
      <w:proofErr w:type="spellStart"/>
      <w:r w:rsidRPr="007323CC">
        <w:rPr>
          <w:rFonts w:ascii="Times New Roman" w:eastAsia="Times New Roman" w:hAnsi="Times New Roman" w:cs="Times New Roman"/>
          <w:color w:val="555555"/>
          <w:sz w:val="24"/>
          <w:szCs w:val="24"/>
          <w:lang w:eastAsia="fr-FR"/>
        </w:rPr>
        <w:t>Markit</w:t>
      </w:r>
      <w:proofErr w:type="spellEnd"/>
      <w:r w:rsidRPr="007323CC">
        <w:rPr>
          <w:rFonts w:ascii="Times New Roman" w:eastAsia="Times New Roman" w:hAnsi="Times New Roman" w:cs="Times New Roman"/>
          <w:color w:val="555555"/>
          <w:sz w:val="24"/>
          <w:szCs w:val="24"/>
          <w:lang w:eastAsia="fr-FR"/>
        </w:rPr>
        <w:t xml:space="preserve">. Ainsi, l’indice des directeurs d’achat (PMI) Composite est ressorti à 52,7 contre un consensus de 54,5 et après 55,8 en décembre 2021. De son côté, le PMI dans les services a atteint 53,1 en janvier, contre un consensus de 55,3 et après 57 en décembre. Enfin, le PMI </w:t>
      </w:r>
      <w:r w:rsidRPr="007323CC">
        <w:rPr>
          <w:rFonts w:ascii="Times New Roman" w:eastAsia="Times New Roman" w:hAnsi="Times New Roman" w:cs="Times New Roman"/>
          <w:color w:val="555555"/>
          <w:sz w:val="24"/>
          <w:szCs w:val="24"/>
          <w:lang w:eastAsia="fr-FR"/>
        </w:rPr>
        <w:lastRenderedPageBreak/>
        <w:t>manufacturier a atteint 55,5 en janvier, contre un consensus de 55,5 et après 55,6 en décembre.</w:t>
      </w:r>
    </w:p>
    <w:p w14:paraId="254ACFD3" w14:textId="77777777" w:rsidR="00CA4B61" w:rsidRPr="007323CC" w:rsidRDefault="00CA4B61" w:rsidP="007323CC">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7323CC">
        <w:rPr>
          <w:rFonts w:ascii="Times New Roman" w:eastAsia="Times New Roman" w:hAnsi="Times New Roman" w:cs="Times New Roman"/>
          <w:color w:val="555555"/>
          <w:sz w:val="24"/>
          <w:szCs w:val="24"/>
          <w:lang w:eastAsia="fr-FR"/>
        </w:rPr>
        <w:t xml:space="preserve">" Compte tenu de la forte hausse du nombre de nouveaux cas quotidiens de Covid-19 en France, on ne peut s'étonner de l'affaiblissement de la croissance enregistré en janvier. Si, contrairement à ses homologues européens, le gouvernement français a choisi de ne pas imposer de nouvelles mesures de restriction et ainsi permis un maintien de l'expansion, l'économie a néanmoins subi les répercussions du variant omicron ", a commenté Joe Hayes, Senior Economist à IHS </w:t>
      </w:r>
      <w:proofErr w:type="spellStart"/>
      <w:r w:rsidRPr="007323CC">
        <w:rPr>
          <w:rFonts w:ascii="Times New Roman" w:eastAsia="Times New Roman" w:hAnsi="Times New Roman" w:cs="Times New Roman"/>
          <w:color w:val="555555"/>
          <w:sz w:val="24"/>
          <w:szCs w:val="24"/>
          <w:lang w:eastAsia="fr-FR"/>
        </w:rPr>
        <w:t>Markit</w:t>
      </w:r>
      <w:proofErr w:type="spellEnd"/>
      <w:r w:rsidRPr="007323CC">
        <w:rPr>
          <w:rFonts w:ascii="Times New Roman" w:eastAsia="Times New Roman" w:hAnsi="Times New Roman" w:cs="Times New Roman"/>
          <w:color w:val="555555"/>
          <w:sz w:val="24"/>
          <w:szCs w:val="24"/>
          <w:lang w:eastAsia="fr-FR"/>
        </w:rPr>
        <w:t>.</w:t>
      </w:r>
    </w:p>
    <w:p w14:paraId="1DA4B76C" w14:textId="77777777" w:rsidR="00CE2A19" w:rsidRPr="007323CC" w:rsidRDefault="00CE2A19" w:rsidP="007323C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8C83811" w14:textId="77777777" w:rsidR="00DE13CA" w:rsidRPr="008062A7" w:rsidRDefault="00DE13CA" w:rsidP="008062A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062A7">
        <w:rPr>
          <w:rFonts w:ascii="Times New Roman" w:eastAsia="Times New Roman" w:hAnsi="Times New Roman" w:cs="Times New Roman"/>
          <w:color w:val="555555"/>
          <w:sz w:val="24"/>
          <w:szCs w:val="24"/>
          <w:lang w:eastAsia="fr-FR"/>
        </w:rPr>
        <w:t xml:space="preserve">Au chapitre des valeurs, c'est l'hécatombe au sein du CAC, avec Saint-Gobain (-8,46%), </w:t>
      </w:r>
      <w:proofErr w:type="spellStart"/>
      <w:r w:rsidRPr="008062A7">
        <w:rPr>
          <w:rFonts w:ascii="Times New Roman" w:eastAsia="Times New Roman" w:hAnsi="Times New Roman" w:cs="Times New Roman"/>
          <w:color w:val="555555"/>
          <w:sz w:val="24"/>
          <w:szCs w:val="24"/>
          <w:lang w:eastAsia="fr-FR"/>
        </w:rPr>
        <w:t>Stellantis</w:t>
      </w:r>
      <w:proofErr w:type="spellEnd"/>
      <w:r w:rsidRPr="008062A7">
        <w:rPr>
          <w:rFonts w:ascii="Times New Roman" w:eastAsia="Times New Roman" w:hAnsi="Times New Roman" w:cs="Times New Roman"/>
          <w:color w:val="555555"/>
          <w:sz w:val="24"/>
          <w:szCs w:val="24"/>
          <w:lang w:eastAsia="fr-FR"/>
        </w:rPr>
        <w:t xml:space="preserve"> (-7,43%) et Worldline (-7,28%) accusant les plus forts replis. Renault (-2,81%) n'a pas échappé à la déprime ambiante, malgré l'important plan d'investissement dans l'électrique que pourrait dévoiler l'Alliance ce jeudi.</w:t>
      </w:r>
    </w:p>
    <w:p w14:paraId="541BA7C3" w14:textId="77777777" w:rsidR="00DE13CA" w:rsidRPr="008062A7" w:rsidRDefault="00DE13CA" w:rsidP="008062A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062A7">
        <w:rPr>
          <w:rFonts w:ascii="Times New Roman" w:eastAsia="Times New Roman" w:hAnsi="Times New Roman" w:cs="Times New Roman"/>
          <w:color w:val="555555"/>
          <w:sz w:val="24"/>
          <w:szCs w:val="24"/>
          <w:lang w:eastAsia="fr-FR"/>
        </w:rPr>
        <w:t xml:space="preserve">Au sein du SBF 120, </w:t>
      </w:r>
      <w:proofErr w:type="spellStart"/>
      <w:r w:rsidRPr="008062A7">
        <w:rPr>
          <w:rFonts w:ascii="Times New Roman" w:eastAsia="Times New Roman" w:hAnsi="Times New Roman" w:cs="Times New Roman"/>
          <w:color w:val="555555"/>
          <w:sz w:val="24"/>
          <w:szCs w:val="24"/>
          <w:lang w:eastAsia="fr-FR"/>
        </w:rPr>
        <w:t>Orpea</w:t>
      </w:r>
      <w:proofErr w:type="spellEnd"/>
      <w:r w:rsidRPr="008062A7">
        <w:rPr>
          <w:rFonts w:ascii="Times New Roman" w:eastAsia="Times New Roman" w:hAnsi="Times New Roman" w:cs="Times New Roman"/>
          <w:color w:val="555555"/>
          <w:sz w:val="24"/>
          <w:szCs w:val="24"/>
          <w:lang w:eastAsia="fr-FR"/>
        </w:rPr>
        <w:t xml:space="preserve"> a été suspendue de cotation à la mi-journée à la demande du groupe. Avant sa suspension, le titre abandonnait 16,11 %. Cette dégringolade est liée à un livre dénonçant les pratiques de l'exploitant </w:t>
      </w:r>
      <w:proofErr w:type="spellStart"/>
      <w:r w:rsidRPr="008062A7">
        <w:rPr>
          <w:rFonts w:ascii="Times New Roman" w:eastAsia="Times New Roman" w:hAnsi="Times New Roman" w:cs="Times New Roman"/>
          <w:color w:val="555555"/>
          <w:sz w:val="24"/>
          <w:szCs w:val="24"/>
          <w:lang w:eastAsia="fr-FR"/>
        </w:rPr>
        <w:t>d'Ehpad</w:t>
      </w:r>
      <w:proofErr w:type="spellEnd"/>
      <w:r w:rsidRPr="008062A7">
        <w:rPr>
          <w:rFonts w:ascii="Times New Roman" w:eastAsia="Times New Roman" w:hAnsi="Times New Roman" w:cs="Times New Roman"/>
          <w:color w:val="555555"/>
          <w:sz w:val="24"/>
          <w:szCs w:val="24"/>
          <w:lang w:eastAsia="fr-FR"/>
        </w:rPr>
        <w:t xml:space="preserve"> et de cliniques spécialisées.</w:t>
      </w:r>
    </w:p>
    <w:p w14:paraId="43FFB789" w14:textId="77777777" w:rsidR="00DE13CA" w:rsidRPr="008062A7" w:rsidRDefault="00DE13CA" w:rsidP="008062A7">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8062A7">
        <w:rPr>
          <w:rFonts w:ascii="Times New Roman" w:eastAsia="Times New Roman" w:hAnsi="Times New Roman" w:cs="Times New Roman"/>
          <w:color w:val="555555"/>
          <w:sz w:val="24"/>
          <w:szCs w:val="24"/>
          <w:lang w:eastAsia="fr-FR"/>
        </w:rPr>
        <w:t xml:space="preserve">En revanche, Orange(+0,90%) est parvenu à progresser (la seule hausse du CAC!) alors que la consolidation du secteur des télécoms se poursuit en Europe. Au sein du SBF 120, Ipsen (+1,26%) a également échappé à la baisse car Santé Canada a approuvé </w:t>
      </w:r>
      <w:proofErr w:type="spellStart"/>
      <w:r w:rsidRPr="008062A7">
        <w:rPr>
          <w:rFonts w:ascii="Times New Roman" w:eastAsia="Times New Roman" w:hAnsi="Times New Roman" w:cs="Times New Roman"/>
          <w:color w:val="555555"/>
          <w:sz w:val="24"/>
          <w:szCs w:val="24"/>
          <w:lang w:eastAsia="fr-FR"/>
        </w:rPr>
        <w:t>Sohonos</w:t>
      </w:r>
      <w:proofErr w:type="spellEnd"/>
      <w:r w:rsidRPr="008062A7">
        <w:rPr>
          <w:rFonts w:ascii="Times New Roman" w:eastAsia="Times New Roman" w:hAnsi="Times New Roman" w:cs="Times New Roman"/>
          <w:color w:val="555555"/>
          <w:sz w:val="24"/>
          <w:szCs w:val="24"/>
          <w:lang w:eastAsia="fr-FR"/>
        </w:rPr>
        <w:t xml:space="preserve"> (capsules de </w:t>
      </w:r>
      <w:proofErr w:type="spellStart"/>
      <w:r w:rsidRPr="008062A7">
        <w:rPr>
          <w:rFonts w:ascii="Times New Roman" w:eastAsia="Times New Roman" w:hAnsi="Times New Roman" w:cs="Times New Roman"/>
          <w:color w:val="555555"/>
          <w:sz w:val="24"/>
          <w:szCs w:val="24"/>
          <w:lang w:eastAsia="fr-FR"/>
        </w:rPr>
        <w:t>palovarotène</w:t>
      </w:r>
      <w:proofErr w:type="spellEnd"/>
      <w:r w:rsidRPr="008062A7">
        <w:rPr>
          <w:rFonts w:ascii="Times New Roman" w:eastAsia="Times New Roman" w:hAnsi="Times New Roman" w:cs="Times New Roman"/>
          <w:color w:val="555555"/>
          <w:sz w:val="24"/>
          <w:szCs w:val="24"/>
          <w:lang w:eastAsia="fr-FR"/>
        </w:rPr>
        <w:t>).</w:t>
      </w:r>
    </w:p>
    <w:p w14:paraId="05FE519A" w14:textId="77777777" w:rsidR="00DE13CA" w:rsidRPr="008062A7" w:rsidRDefault="00DE13CA" w:rsidP="008062A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6686039A" w14:textId="77777777" w:rsidR="007323CC" w:rsidRPr="008062A7" w:rsidRDefault="007323CC" w:rsidP="008062A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062A7">
        <w:rPr>
          <w:rFonts w:ascii="Times New Roman" w:eastAsia="Times New Roman" w:hAnsi="Times New Roman" w:cs="Times New Roman"/>
          <w:color w:val="555555"/>
          <w:sz w:val="24"/>
          <w:szCs w:val="24"/>
          <w:lang w:eastAsia="fr-FR"/>
        </w:rPr>
        <w:t xml:space="preserve">L’action </w:t>
      </w:r>
      <w:proofErr w:type="spellStart"/>
      <w:r w:rsidRPr="008062A7">
        <w:rPr>
          <w:rFonts w:ascii="Times New Roman" w:eastAsia="Times New Roman" w:hAnsi="Times New Roman" w:cs="Times New Roman"/>
          <w:color w:val="555555"/>
          <w:sz w:val="24"/>
          <w:szCs w:val="24"/>
          <w:lang w:eastAsia="fr-FR"/>
        </w:rPr>
        <w:t>Orpea</w:t>
      </w:r>
      <w:proofErr w:type="spellEnd"/>
      <w:r w:rsidRPr="008062A7">
        <w:rPr>
          <w:rFonts w:ascii="Times New Roman" w:eastAsia="Times New Roman" w:hAnsi="Times New Roman" w:cs="Times New Roman"/>
          <w:color w:val="555555"/>
          <w:sz w:val="24"/>
          <w:szCs w:val="24"/>
          <w:lang w:eastAsia="fr-FR"/>
        </w:rPr>
        <w:t xml:space="preserve"> a violemment décroché en toute fin de matinée, avant d’être suspendue de cotation à la demande du spécialiste de la prise en charge de la dépendance. Avant sa suspension, le titre abandonnait 16,11 % à 69,28 euros. Cette dégringolade est liée à un livre dénonçant les pratiques de l’exploitant </w:t>
      </w:r>
      <w:proofErr w:type="spellStart"/>
      <w:r w:rsidRPr="008062A7">
        <w:rPr>
          <w:rFonts w:ascii="Times New Roman" w:eastAsia="Times New Roman" w:hAnsi="Times New Roman" w:cs="Times New Roman"/>
          <w:color w:val="555555"/>
          <w:sz w:val="24"/>
          <w:szCs w:val="24"/>
          <w:lang w:eastAsia="fr-FR"/>
        </w:rPr>
        <w:t>d’Ehpad</w:t>
      </w:r>
      <w:proofErr w:type="spellEnd"/>
      <w:r w:rsidRPr="008062A7">
        <w:rPr>
          <w:rFonts w:ascii="Times New Roman" w:eastAsia="Times New Roman" w:hAnsi="Times New Roman" w:cs="Times New Roman"/>
          <w:color w:val="555555"/>
          <w:sz w:val="24"/>
          <w:szCs w:val="24"/>
          <w:lang w:eastAsia="fr-FR"/>
        </w:rPr>
        <w:t xml:space="preserve"> et de cliniques spécialisées. Si cet ouvrage, intitulé " Les fossoyeurs : Révélations sur le système qui maltraite nos aînés ", n’est pas encore sorti, Le Monde a d’ores et déjà publié des extraits chocs ce lundi.</w:t>
      </w:r>
    </w:p>
    <w:p w14:paraId="3E452A2D" w14:textId="77777777" w:rsidR="007323CC" w:rsidRPr="008062A7" w:rsidRDefault="007323CC" w:rsidP="008062A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062A7">
        <w:rPr>
          <w:rFonts w:ascii="Times New Roman" w:eastAsia="Times New Roman" w:hAnsi="Times New Roman" w:cs="Times New Roman"/>
          <w:color w:val="555555"/>
          <w:sz w:val="24"/>
          <w:szCs w:val="24"/>
          <w:lang w:eastAsia="fr-FR"/>
        </w:rPr>
        <w:t>Sur son site internet, l'auteur, le journaliste indépendant Victor Castanet, présente ainsi son ouvrage : " Trois ans d'investigations, 250 témoins, le courage d'une poignée de lanceurs d'alerte, des dizaines de documents explosifs, plusieurs personnalités impliquées… ".</w:t>
      </w:r>
    </w:p>
    <w:p w14:paraId="20C51B22" w14:textId="45223E46" w:rsidR="007323CC" w:rsidRPr="008062A7" w:rsidRDefault="007323CC" w:rsidP="008062A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062A7">
        <w:rPr>
          <w:rFonts w:ascii="Times New Roman" w:eastAsia="Times New Roman" w:hAnsi="Times New Roman" w:cs="Times New Roman"/>
          <w:color w:val="555555"/>
          <w:sz w:val="24"/>
          <w:szCs w:val="24"/>
          <w:lang w:eastAsia="fr-FR"/>
        </w:rPr>
        <w:t>Il pointe du doigt de multiples dérives : personnes âgées maltraitées, salariés malmenés, acrobaties comptables et argent public dilapidé.</w:t>
      </w:r>
      <w:r w:rsidRPr="008062A7">
        <w:rPr>
          <w:rFonts w:ascii="Times New Roman" w:eastAsia="Times New Roman" w:hAnsi="Times New Roman" w:cs="Times New Roman"/>
          <w:color w:val="555555"/>
          <w:sz w:val="24"/>
          <w:szCs w:val="24"/>
          <w:lang w:eastAsia="fr-FR"/>
        </w:rPr>
        <w:br/>
        <w:t>Contactée par l'AOF, une porte-parole d'</w:t>
      </w:r>
      <w:proofErr w:type="spellStart"/>
      <w:r w:rsidRPr="008062A7">
        <w:rPr>
          <w:rFonts w:ascii="Times New Roman" w:eastAsia="Times New Roman" w:hAnsi="Times New Roman" w:cs="Times New Roman"/>
          <w:color w:val="555555"/>
          <w:sz w:val="24"/>
          <w:szCs w:val="24"/>
          <w:lang w:eastAsia="fr-FR"/>
        </w:rPr>
        <w:t>Orpea</w:t>
      </w:r>
      <w:proofErr w:type="spellEnd"/>
      <w:r w:rsidRPr="008062A7">
        <w:rPr>
          <w:rFonts w:ascii="Times New Roman" w:eastAsia="Times New Roman" w:hAnsi="Times New Roman" w:cs="Times New Roman"/>
          <w:color w:val="555555"/>
          <w:sz w:val="24"/>
          <w:szCs w:val="24"/>
          <w:lang w:eastAsia="fr-FR"/>
        </w:rPr>
        <w:t xml:space="preserve"> a indiqué que le groupe travaillait activement à préparer une réponse à ces accusations. A la clôture de la Bourse de Paris, un communiqué n'était toujours pas disponible.</w:t>
      </w:r>
    </w:p>
    <w:p w14:paraId="3A374C72" w14:textId="77777777" w:rsidR="007323CC" w:rsidRPr="008062A7" w:rsidRDefault="007323CC" w:rsidP="008062A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6416709" w14:textId="77777777" w:rsidR="00DC7BBD" w:rsidRPr="008062A7" w:rsidRDefault="00DC7BBD" w:rsidP="008062A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062A7">
        <w:rPr>
          <w:rFonts w:ascii="Times New Roman" w:eastAsia="Times New Roman" w:hAnsi="Times New Roman" w:cs="Times New Roman"/>
          <w:color w:val="555555"/>
          <w:sz w:val="24"/>
          <w:szCs w:val="24"/>
          <w:lang w:eastAsia="fr-FR"/>
        </w:rPr>
        <w:t>Des annonces électriques sont en préparation du côté de l’Alliance. Renault, Nissan et Mitsubishi devraient ainsi dévoiler ce jeudi leur grand plan « Alliance to 2030 », prévoyant un triplement de leurs investissements pour développer conjointement des véhicules électriques. C’est ce qu’a rapporté dimanche Reuters, sur la base de deux personnes au fait du projet. Les trois constructeurs devraient annoncer un plan d'investissement de plus de 20 milliards d’euros dans le développement de véhicules électriques au cours des 5 prochaines années, selon le média.</w:t>
      </w:r>
    </w:p>
    <w:p w14:paraId="661A7CB0" w14:textId="77777777" w:rsidR="00DC7BBD" w:rsidRPr="008062A7" w:rsidRDefault="00DC7BBD" w:rsidP="008062A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062A7">
        <w:rPr>
          <w:rFonts w:ascii="Times New Roman" w:eastAsia="Times New Roman" w:hAnsi="Times New Roman" w:cs="Times New Roman"/>
          <w:color w:val="555555"/>
          <w:sz w:val="24"/>
          <w:szCs w:val="24"/>
          <w:lang w:eastAsia="fr-FR"/>
        </w:rPr>
        <w:t>D'ici 2030, l'Alliance devrait proposer plus de 30 nouveaux véhicules électriques à batterie reposant sur cinq plates-formes communes, a ajouté Reuters.</w:t>
      </w:r>
    </w:p>
    <w:p w14:paraId="212E6386" w14:textId="77777777" w:rsidR="00DC7BBD" w:rsidRPr="008062A7" w:rsidRDefault="00DC7BBD" w:rsidP="008062A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8062A7">
        <w:rPr>
          <w:rFonts w:ascii="Times New Roman" w:eastAsia="Times New Roman" w:hAnsi="Times New Roman" w:cs="Times New Roman"/>
          <w:color w:val="555555"/>
          <w:sz w:val="24"/>
          <w:szCs w:val="24"/>
          <w:lang w:eastAsia="fr-FR"/>
        </w:rPr>
        <w:lastRenderedPageBreak/>
        <w:t>L'alliance prévoit d'investir conjointement pour produire en France, en Grande-Bretagne, en Chine et au Japon un total de 220 gigawattheures de capacité de batterie d'ici 2030 dans le cadre du plan, a conclu le média.</w:t>
      </w:r>
    </w:p>
    <w:p w14:paraId="382B69E9" w14:textId="77777777" w:rsidR="00DC7BBD" w:rsidRPr="008062A7" w:rsidRDefault="00DC7BBD" w:rsidP="008062A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2247447" w14:textId="77777777" w:rsidR="006C58E5" w:rsidRPr="008062A7" w:rsidRDefault="006C58E5" w:rsidP="008062A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062A7">
        <w:rPr>
          <w:rFonts w:ascii="Times New Roman" w:eastAsia="Times New Roman" w:hAnsi="Times New Roman" w:cs="Times New Roman"/>
          <w:color w:val="555555"/>
          <w:sz w:val="24"/>
          <w:szCs w:val="24"/>
          <w:lang w:eastAsia="fr-FR"/>
        </w:rPr>
        <w:t xml:space="preserve">Unilever bondit de près de 6% à 3 891,5 pence, soutenu par l'information du Financial Times selon laquelle le fonds spéculatif activiste de Nelson </w:t>
      </w:r>
      <w:proofErr w:type="spellStart"/>
      <w:r w:rsidRPr="008062A7">
        <w:rPr>
          <w:rFonts w:ascii="Times New Roman" w:eastAsia="Times New Roman" w:hAnsi="Times New Roman" w:cs="Times New Roman"/>
          <w:color w:val="555555"/>
          <w:sz w:val="24"/>
          <w:szCs w:val="24"/>
          <w:lang w:eastAsia="fr-FR"/>
        </w:rPr>
        <w:t>Peltz</w:t>
      </w:r>
      <w:proofErr w:type="spellEnd"/>
      <w:r w:rsidRPr="008062A7">
        <w:rPr>
          <w:rFonts w:ascii="Times New Roman" w:eastAsia="Times New Roman" w:hAnsi="Times New Roman" w:cs="Times New Roman"/>
          <w:color w:val="555555"/>
          <w:sz w:val="24"/>
          <w:szCs w:val="24"/>
          <w:lang w:eastAsia="fr-FR"/>
        </w:rPr>
        <w:t xml:space="preserve">, </w:t>
      </w:r>
      <w:proofErr w:type="spellStart"/>
      <w:r w:rsidRPr="008062A7">
        <w:rPr>
          <w:rFonts w:ascii="Times New Roman" w:eastAsia="Times New Roman" w:hAnsi="Times New Roman" w:cs="Times New Roman"/>
          <w:color w:val="555555"/>
          <w:sz w:val="24"/>
          <w:szCs w:val="24"/>
          <w:lang w:eastAsia="fr-FR"/>
        </w:rPr>
        <w:t>Trian</w:t>
      </w:r>
      <w:proofErr w:type="spellEnd"/>
      <w:r w:rsidRPr="008062A7">
        <w:rPr>
          <w:rFonts w:ascii="Times New Roman" w:eastAsia="Times New Roman" w:hAnsi="Times New Roman" w:cs="Times New Roman"/>
          <w:color w:val="555555"/>
          <w:sz w:val="24"/>
          <w:szCs w:val="24"/>
          <w:lang w:eastAsia="fr-FR"/>
        </w:rPr>
        <w:t xml:space="preserve"> </w:t>
      </w:r>
      <w:proofErr w:type="spellStart"/>
      <w:r w:rsidRPr="008062A7">
        <w:rPr>
          <w:rFonts w:ascii="Times New Roman" w:eastAsia="Times New Roman" w:hAnsi="Times New Roman" w:cs="Times New Roman"/>
          <w:color w:val="555555"/>
          <w:sz w:val="24"/>
          <w:szCs w:val="24"/>
          <w:lang w:eastAsia="fr-FR"/>
        </w:rPr>
        <w:t>Partners</w:t>
      </w:r>
      <w:proofErr w:type="spellEnd"/>
      <w:r w:rsidRPr="008062A7">
        <w:rPr>
          <w:rFonts w:ascii="Times New Roman" w:eastAsia="Times New Roman" w:hAnsi="Times New Roman" w:cs="Times New Roman"/>
          <w:color w:val="555555"/>
          <w:sz w:val="24"/>
          <w:szCs w:val="24"/>
          <w:lang w:eastAsia="fr-FR"/>
        </w:rPr>
        <w:t>, a pris une participation à son capital. Les investisseurs spéculent sur la pression que pourrait mettre ce fonds sur la direction de la société afin d'augmenter le retour à l'actionnaire. Le dirigeant d'Unilever est la cible de critiques d'actionnaires lui reprochant une stratégie floue.</w:t>
      </w:r>
    </w:p>
    <w:p w14:paraId="0B8D97D2" w14:textId="77777777" w:rsidR="006C58E5" w:rsidRPr="008062A7" w:rsidRDefault="006C58E5" w:rsidP="008062A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062A7">
        <w:rPr>
          <w:rFonts w:ascii="Times New Roman" w:eastAsia="Times New Roman" w:hAnsi="Times New Roman" w:cs="Times New Roman"/>
          <w:color w:val="555555"/>
          <w:sz w:val="24"/>
          <w:szCs w:val="24"/>
          <w:lang w:eastAsia="fr-FR"/>
        </w:rPr>
        <w:t>La semaine dernière, Unilever a refusé de relever son offre de 50 milliards de livres sur la branche de santé grand public de GlaxoSmithKline.</w:t>
      </w:r>
    </w:p>
    <w:p w14:paraId="52060677" w14:textId="77777777" w:rsidR="006C58E5" w:rsidRPr="008062A7" w:rsidRDefault="006C58E5" w:rsidP="008062A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062A7">
        <w:rPr>
          <w:rFonts w:ascii="Times New Roman" w:eastAsia="Times New Roman" w:hAnsi="Times New Roman" w:cs="Times New Roman"/>
          <w:color w:val="555555"/>
          <w:sz w:val="24"/>
          <w:szCs w:val="24"/>
          <w:lang w:eastAsia="fr-FR"/>
        </w:rPr>
        <w:t xml:space="preserve">Ce refus, et plus encore ce projet de rachat, a suscité des interrogations des experts. Certains doutent en effet de l'intérêt d'Unilever de se focaliser dans "la beauté, la santé et les soins </w:t>
      </w:r>
      <w:proofErr w:type="spellStart"/>
      <w:r w:rsidRPr="008062A7">
        <w:rPr>
          <w:rFonts w:ascii="Times New Roman" w:eastAsia="Times New Roman" w:hAnsi="Times New Roman" w:cs="Times New Roman"/>
          <w:color w:val="555555"/>
          <w:sz w:val="24"/>
          <w:szCs w:val="24"/>
          <w:lang w:eastAsia="fr-FR"/>
        </w:rPr>
        <w:t>bucaux</w:t>
      </w:r>
      <w:proofErr w:type="spellEnd"/>
      <w:r w:rsidRPr="008062A7">
        <w:rPr>
          <w:rFonts w:ascii="Times New Roman" w:eastAsia="Times New Roman" w:hAnsi="Times New Roman" w:cs="Times New Roman"/>
          <w:color w:val="555555"/>
          <w:sz w:val="24"/>
          <w:szCs w:val="24"/>
          <w:lang w:eastAsia="fr-FR"/>
        </w:rPr>
        <w:t xml:space="preserve">" alors qu'il détient des marques très fortes dans l'agroalimentaire comme les glaces Ben &amp; </w:t>
      </w:r>
      <w:proofErr w:type="spellStart"/>
      <w:r w:rsidRPr="008062A7">
        <w:rPr>
          <w:rFonts w:ascii="Times New Roman" w:eastAsia="Times New Roman" w:hAnsi="Times New Roman" w:cs="Times New Roman"/>
          <w:color w:val="555555"/>
          <w:sz w:val="24"/>
          <w:szCs w:val="24"/>
          <w:lang w:eastAsia="fr-FR"/>
        </w:rPr>
        <w:t>Jerry's</w:t>
      </w:r>
      <w:proofErr w:type="spellEnd"/>
      <w:r w:rsidRPr="008062A7">
        <w:rPr>
          <w:rFonts w:ascii="Times New Roman" w:eastAsia="Times New Roman" w:hAnsi="Times New Roman" w:cs="Times New Roman"/>
          <w:color w:val="555555"/>
          <w:sz w:val="24"/>
          <w:szCs w:val="24"/>
          <w:lang w:eastAsia="fr-FR"/>
        </w:rPr>
        <w:t xml:space="preserve">, la mayonnaise </w:t>
      </w:r>
      <w:proofErr w:type="spellStart"/>
      <w:r w:rsidRPr="008062A7">
        <w:rPr>
          <w:rFonts w:ascii="Times New Roman" w:eastAsia="Times New Roman" w:hAnsi="Times New Roman" w:cs="Times New Roman"/>
          <w:color w:val="555555"/>
          <w:sz w:val="24"/>
          <w:szCs w:val="24"/>
          <w:lang w:eastAsia="fr-FR"/>
        </w:rPr>
        <w:t>Hellmann's</w:t>
      </w:r>
      <w:proofErr w:type="spellEnd"/>
      <w:r w:rsidRPr="008062A7">
        <w:rPr>
          <w:rFonts w:ascii="Times New Roman" w:eastAsia="Times New Roman" w:hAnsi="Times New Roman" w:cs="Times New Roman"/>
          <w:color w:val="555555"/>
          <w:sz w:val="24"/>
          <w:szCs w:val="24"/>
          <w:lang w:eastAsia="fr-FR"/>
        </w:rPr>
        <w:t xml:space="preserve"> ou encore les potages Knorr.</w:t>
      </w:r>
    </w:p>
    <w:p w14:paraId="4C32DF64" w14:textId="2E9D99C3" w:rsidR="006C58E5" w:rsidRPr="008062A7" w:rsidRDefault="006C58E5" w:rsidP="008062A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062A7">
        <w:rPr>
          <w:rFonts w:ascii="Times New Roman" w:eastAsia="Times New Roman" w:hAnsi="Times New Roman" w:cs="Times New Roman"/>
          <w:color w:val="555555"/>
          <w:sz w:val="24"/>
          <w:szCs w:val="24"/>
          <w:lang w:eastAsia="fr-FR"/>
        </w:rPr>
        <w:t>D'autres au contraire, on</w:t>
      </w:r>
      <w:r w:rsidRPr="008062A7">
        <w:rPr>
          <w:rFonts w:ascii="Times New Roman" w:eastAsia="Times New Roman" w:hAnsi="Times New Roman" w:cs="Times New Roman"/>
          <w:color w:val="555555"/>
          <w:sz w:val="24"/>
          <w:szCs w:val="24"/>
          <w:lang w:eastAsia="fr-FR"/>
        </w:rPr>
        <w:t>t</w:t>
      </w:r>
      <w:r w:rsidRPr="008062A7">
        <w:rPr>
          <w:rFonts w:ascii="Times New Roman" w:eastAsia="Times New Roman" w:hAnsi="Times New Roman" w:cs="Times New Roman"/>
          <w:color w:val="555555"/>
          <w:sz w:val="24"/>
          <w:szCs w:val="24"/>
          <w:lang w:eastAsia="fr-FR"/>
        </w:rPr>
        <w:t xml:space="preserve"> regretté que le groupe abandonne aussi rapidement un projet qui faisait sens.</w:t>
      </w:r>
    </w:p>
    <w:p w14:paraId="50D68684" w14:textId="77777777" w:rsidR="006C58E5" w:rsidRPr="008062A7" w:rsidRDefault="006C58E5" w:rsidP="008062A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E29261F" w14:textId="77777777" w:rsidR="00876562" w:rsidRPr="008062A7" w:rsidRDefault="00876562" w:rsidP="008062A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062A7">
        <w:rPr>
          <w:rFonts w:ascii="Times New Roman" w:eastAsia="Times New Roman" w:hAnsi="Times New Roman" w:cs="Times New Roman"/>
          <w:color w:val="555555"/>
          <w:sz w:val="24"/>
          <w:szCs w:val="24"/>
          <w:lang w:eastAsia="fr-FR"/>
        </w:rPr>
        <w:t>Vodafone et Iliad seraient en discussions actives pour fusionner leurs activités en Italie, a rapporté Reuters ce week-end, sur la base de témoignages de sources anonymes proches du dossier. L'agence de presse révèle que le groupe de Xavier Niel travaille actuellement avec la d'affaires Lazard sur ses projets stratégiques en Italie. "En cas de succès de leur rapprochement en Italie, le nouvel ensemble disposerait dans la péninsule d'une part de marché dans le mobile d'environ 36% et d'un chiffre d'affaires combiné de près de six milliards d'euros", écrit Reuters.</w:t>
      </w:r>
    </w:p>
    <w:p w14:paraId="4BA84635" w14:textId="77777777" w:rsidR="00876562" w:rsidRPr="008062A7" w:rsidRDefault="00876562" w:rsidP="008062A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8062A7">
        <w:rPr>
          <w:rFonts w:ascii="Times New Roman" w:eastAsia="Times New Roman" w:hAnsi="Times New Roman" w:cs="Times New Roman"/>
          <w:color w:val="555555"/>
          <w:sz w:val="24"/>
          <w:szCs w:val="24"/>
          <w:lang w:eastAsia="fr-FR"/>
        </w:rPr>
        <w:t xml:space="preserve">Iliad s'est lancé en Italie en 2018 en se donnant pour mission de casser les prix des abonnements sur un marché considéré comme fragmenté. De plus en plus d'acteurs appellent d'ailleurs à une consolidation du secteur des télécoms en Europe, y compris Iliad et Vodafone. </w:t>
      </w:r>
      <w:proofErr w:type="spellStart"/>
      <w:r w:rsidRPr="008062A7">
        <w:rPr>
          <w:rFonts w:ascii="Times New Roman" w:eastAsia="Times New Roman" w:hAnsi="Times New Roman" w:cs="Times New Roman"/>
          <w:color w:val="555555"/>
          <w:sz w:val="24"/>
          <w:szCs w:val="24"/>
          <w:lang w:eastAsia="fr-FR"/>
        </w:rPr>
        <w:t>Jefferies</w:t>
      </w:r>
      <w:proofErr w:type="spellEnd"/>
      <w:r w:rsidRPr="008062A7">
        <w:rPr>
          <w:rFonts w:ascii="Times New Roman" w:eastAsia="Times New Roman" w:hAnsi="Times New Roman" w:cs="Times New Roman"/>
          <w:color w:val="555555"/>
          <w:sz w:val="24"/>
          <w:szCs w:val="24"/>
          <w:lang w:eastAsia="fr-FR"/>
        </w:rPr>
        <w:t xml:space="preserve"> considère ainsi que cette consolidation est "le plus grand moteur" de sa réévaluation de 45% du secteur sur la période 2013-2015.</w:t>
      </w:r>
    </w:p>
    <w:p w14:paraId="30F1E6FE" w14:textId="77777777" w:rsidR="00876562" w:rsidRPr="008062A7" w:rsidRDefault="00876562" w:rsidP="008062A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CC857C3" w14:textId="78686E00" w:rsidR="00C45089" w:rsidRPr="008062A7" w:rsidRDefault="008062A7" w:rsidP="008062A7">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062A7">
        <w:rPr>
          <w:rFonts w:ascii="Times New Roman" w:hAnsi="Times New Roman" w:cs="Times New Roman"/>
          <w:color w:val="555555"/>
          <w:sz w:val="24"/>
          <w:szCs w:val="24"/>
          <w:shd w:val="clear" w:color="auto" w:fill="FFFFFF"/>
        </w:rPr>
        <w:t xml:space="preserve">Kering a signé un accord en vue de céder l'intégralité de sa participation (100%) dans </w:t>
      </w:r>
      <w:proofErr w:type="spellStart"/>
      <w:r w:rsidRPr="008062A7">
        <w:rPr>
          <w:rFonts w:ascii="Times New Roman" w:hAnsi="Times New Roman" w:cs="Times New Roman"/>
          <w:color w:val="555555"/>
          <w:sz w:val="24"/>
          <w:szCs w:val="24"/>
          <w:shd w:val="clear" w:color="auto" w:fill="FFFFFF"/>
        </w:rPr>
        <w:t>Sowind</w:t>
      </w:r>
      <w:proofErr w:type="spellEnd"/>
      <w:r w:rsidRPr="008062A7">
        <w:rPr>
          <w:rFonts w:ascii="Times New Roman" w:hAnsi="Times New Roman" w:cs="Times New Roman"/>
          <w:color w:val="555555"/>
          <w:sz w:val="24"/>
          <w:szCs w:val="24"/>
          <w:shd w:val="clear" w:color="auto" w:fill="FFFFFF"/>
        </w:rPr>
        <w:t xml:space="preserve"> Group SA, qui détient les manufactures horlogères suisses Girard-</w:t>
      </w:r>
      <w:proofErr w:type="spellStart"/>
      <w:r w:rsidRPr="008062A7">
        <w:rPr>
          <w:rFonts w:ascii="Times New Roman" w:hAnsi="Times New Roman" w:cs="Times New Roman"/>
          <w:color w:val="555555"/>
          <w:sz w:val="24"/>
          <w:szCs w:val="24"/>
          <w:shd w:val="clear" w:color="auto" w:fill="FFFFFF"/>
        </w:rPr>
        <w:t>Perregaux</w:t>
      </w:r>
      <w:proofErr w:type="spellEnd"/>
      <w:r w:rsidRPr="008062A7">
        <w:rPr>
          <w:rFonts w:ascii="Times New Roman" w:hAnsi="Times New Roman" w:cs="Times New Roman"/>
          <w:color w:val="555555"/>
          <w:sz w:val="24"/>
          <w:szCs w:val="24"/>
          <w:shd w:val="clear" w:color="auto" w:fill="FFFFFF"/>
        </w:rPr>
        <w:t xml:space="preserve"> et Ulysse </w:t>
      </w:r>
      <w:proofErr w:type="spellStart"/>
      <w:r w:rsidRPr="008062A7">
        <w:rPr>
          <w:rFonts w:ascii="Times New Roman" w:hAnsi="Times New Roman" w:cs="Times New Roman"/>
          <w:color w:val="555555"/>
          <w:sz w:val="24"/>
          <w:szCs w:val="24"/>
          <w:shd w:val="clear" w:color="auto" w:fill="FFFFFF"/>
        </w:rPr>
        <w:t>Nardin</w:t>
      </w:r>
      <w:proofErr w:type="spellEnd"/>
      <w:r w:rsidRPr="008062A7">
        <w:rPr>
          <w:rFonts w:ascii="Times New Roman" w:hAnsi="Times New Roman" w:cs="Times New Roman"/>
          <w:color w:val="555555"/>
          <w:sz w:val="24"/>
          <w:szCs w:val="24"/>
          <w:shd w:val="clear" w:color="auto" w:fill="FFFFFF"/>
        </w:rPr>
        <w:t>, à son management actuel. Cette opération s'inscrit dans la stratégie de Kering de donner la priorité aux "maisons" ayant le potentiel d'atteindre une taille significative à l'échelle du groupe, et auxquelles il peut apporter dans la durée un soutien décisif, a indiqué la société.</w:t>
      </w:r>
      <w:r w:rsidR="00CE2A19" w:rsidRPr="008062A7">
        <w:rPr>
          <w:rFonts w:ascii="Times New Roman" w:eastAsia="Times New Roman" w:hAnsi="Times New Roman" w:cs="Times New Roman"/>
          <w:color w:val="464646"/>
          <w:sz w:val="24"/>
          <w:szCs w:val="24"/>
          <w:lang w:eastAsia="fr-FR"/>
        </w:rPr>
        <w:t xml:space="preserve"> </w:t>
      </w:r>
    </w:p>
    <w:p w14:paraId="396470AF" w14:textId="77777777" w:rsidR="00C57C59" w:rsidRPr="008062A7" w:rsidRDefault="00C57C59" w:rsidP="008062A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20788E6" w14:textId="77777777" w:rsidR="00CB2F95" w:rsidRPr="000F6D14" w:rsidRDefault="0089268C" w:rsidP="000F6D14">
      <w:pPr>
        <w:pStyle w:val="sc-14kwckt-6"/>
        <w:numPr>
          <w:ilvl w:val="0"/>
          <w:numId w:val="2"/>
        </w:numPr>
        <w:shd w:val="clear" w:color="auto" w:fill="FFFFFF"/>
        <w:spacing w:before="0" w:beforeAutospacing="0" w:after="0" w:afterAutospacing="0"/>
        <w:jc w:val="both"/>
        <w:rPr>
          <w:color w:val="212121"/>
        </w:rPr>
      </w:pPr>
      <w:r w:rsidRPr="000F6D14">
        <w:rPr>
          <w:color w:val="212121"/>
        </w:rPr>
        <w:t>La poussée de l'inflation va entraîner des revendications salariales plus fortes en 2022. Certains économistes redoutent qu'en retour, les hausses de salaires nourrissent celles des prix et que se mette en place une boucle inflationniste dont il sera difficile de sortir. Avec la logique suivante qui rencontre un franc succès </w:t>
      </w:r>
      <w:r w:rsidR="00CB2F95" w:rsidRPr="000F6D14">
        <w:rPr>
          <w:color w:val="212121"/>
        </w:rPr>
        <w:t>chez les banquiers centraux</w:t>
      </w:r>
      <w:r w:rsidRPr="000F6D14">
        <w:rPr>
          <w:color w:val="212121"/>
        </w:rPr>
        <w:t> depuis les années 1980 : l'inflation est </w:t>
      </w:r>
      <w:r w:rsidR="00CB2F95" w:rsidRPr="000F6D14">
        <w:rPr>
          <w:color w:val="212121"/>
        </w:rPr>
        <w:t>comme le dentifrice</w:t>
      </w:r>
      <w:r w:rsidRPr="000F6D14">
        <w:rPr>
          <w:color w:val="212121"/>
        </w:rPr>
        <w:t>. Une fois sorti du tube, on peut difficilement l'y remettre.</w:t>
      </w:r>
    </w:p>
    <w:p w14:paraId="05CCF4EA" w14:textId="77777777" w:rsidR="00CB2F95" w:rsidRPr="000F6D14" w:rsidRDefault="0089268C" w:rsidP="000F6D14">
      <w:pPr>
        <w:pStyle w:val="sc-14kwckt-6"/>
        <w:shd w:val="clear" w:color="auto" w:fill="FFFFFF"/>
        <w:spacing w:before="0" w:beforeAutospacing="0" w:after="0" w:afterAutospacing="0"/>
        <w:ind w:left="720"/>
        <w:jc w:val="both"/>
        <w:rPr>
          <w:color w:val="212121"/>
        </w:rPr>
      </w:pPr>
      <w:r w:rsidRPr="000F6D14">
        <w:rPr>
          <w:color w:val="212121"/>
        </w:rPr>
        <w:t>Avec des prix en hausse de l'ordre de 5 % sur un an en Europe, le risque de voir des pans entiers de la population tomber dans la pauvreté est élevé.</w:t>
      </w:r>
    </w:p>
    <w:p w14:paraId="636B4752" w14:textId="77777777" w:rsidR="00CB2F95" w:rsidRPr="000F6D14" w:rsidRDefault="0089268C" w:rsidP="000F6D14">
      <w:pPr>
        <w:pStyle w:val="sc-14kwckt-6"/>
        <w:shd w:val="clear" w:color="auto" w:fill="FFFFFF"/>
        <w:spacing w:before="0" w:beforeAutospacing="0" w:after="0" w:afterAutospacing="0"/>
        <w:ind w:left="720"/>
        <w:jc w:val="both"/>
        <w:rPr>
          <w:color w:val="212121"/>
        </w:rPr>
      </w:pPr>
      <w:r w:rsidRPr="000F6D14">
        <w:rPr>
          <w:color w:val="212121"/>
        </w:rPr>
        <w:lastRenderedPageBreak/>
        <w:t>« Pour les entreprises européennes, la hausse des coûts atteint son rythme le plus élevé de ces 25 dernières années. Dans ces conditions, les hausses de salaires minimum en Europe, et notamment en Allemagne, pourraient nourrir l'inflation », estime ainsi Chris Hare, économiste chez HSBC.</w:t>
      </w:r>
    </w:p>
    <w:p w14:paraId="2ED42FBF" w14:textId="77777777" w:rsidR="000F6D14" w:rsidRPr="000F6D14" w:rsidRDefault="0089268C" w:rsidP="000F6D14">
      <w:pPr>
        <w:pStyle w:val="sc-14kwckt-6"/>
        <w:shd w:val="clear" w:color="auto" w:fill="FFFFFF"/>
        <w:spacing w:before="0" w:beforeAutospacing="0" w:after="0" w:afterAutospacing="0"/>
        <w:ind w:left="720"/>
        <w:jc w:val="both"/>
        <w:rPr>
          <w:color w:val="212121"/>
        </w:rPr>
      </w:pPr>
      <w:r w:rsidRPr="000F6D14">
        <w:rPr>
          <w:color w:val="212121"/>
        </w:rPr>
        <w:t xml:space="preserve">Au-delà des hausses de salaire minimum, « le choc sur les prix va peu à peu se diffuser au sein de l'économie. Il va entraîner une demande d'augmentations de salaires, et celles-ci, en retour, se répercuteront sur les prix de vente. Mais ce sont le niveau de concurrence, l'importance des marges des entreprises et le fonctionnement des institutions du marché du travail qui détermineront l'impact final sur les prix et les salaires », explique Selin </w:t>
      </w:r>
      <w:proofErr w:type="spellStart"/>
      <w:r w:rsidRPr="000F6D14">
        <w:rPr>
          <w:color w:val="212121"/>
        </w:rPr>
        <w:t>Ozyurt</w:t>
      </w:r>
      <w:proofErr w:type="spellEnd"/>
      <w:r w:rsidRPr="000F6D14">
        <w:rPr>
          <w:color w:val="212121"/>
        </w:rPr>
        <w:t xml:space="preserve">, économiste chez Euler </w:t>
      </w:r>
      <w:proofErr w:type="spellStart"/>
      <w:r w:rsidRPr="000F6D14">
        <w:rPr>
          <w:color w:val="212121"/>
        </w:rPr>
        <w:t>Hermes</w:t>
      </w:r>
      <w:proofErr w:type="spellEnd"/>
      <w:r w:rsidRPr="000F6D14">
        <w:rPr>
          <w:color w:val="212121"/>
        </w:rPr>
        <w:t>.</w:t>
      </w:r>
    </w:p>
    <w:p w14:paraId="097642E9" w14:textId="77777777" w:rsidR="000F6D14" w:rsidRPr="000F6D14" w:rsidRDefault="0089268C" w:rsidP="000F6D14">
      <w:pPr>
        <w:pStyle w:val="sc-14kwckt-6"/>
        <w:shd w:val="clear" w:color="auto" w:fill="FFFFFF"/>
        <w:spacing w:before="0" w:beforeAutospacing="0" w:after="0" w:afterAutospacing="0"/>
        <w:ind w:left="720"/>
        <w:jc w:val="both"/>
        <w:rPr>
          <w:color w:val="212121"/>
        </w:rPr>
      </w:pPr>
      <w:r w:rsidRPr="000F6D14">
        <w:rPr>
          <w:color w:val="212121"/>
        </w:rPr>
        <w:t>« Au Royaume-Uni, comme le marché du travail est très flexible, les salaires réagissent très vite </w:t>
      </w:r>
      <w:r w:rsidR="000F6D14" w:rsidRPr="000F6D14">
        <w:rPr>
          <w:color w:val="212121"/>
        </w:rPr>
        <w:t>à une hausse de l’inflation</w:t>
      </w:r>
      <w:r w:rsidRPr="000F6D14">
        <w:rPr>
          <w:color w:val="212121"/>
        </w:rPr>
        <w:t xml:space="preserve"> », souligne Selin </w:t>
      </w:r>
      <w:proofErr w:type="spellStart"/>
      <w:r w:rsidRPr="000F6D14">
        <w:rPr>
          <w:color w:val="212121"/>
        </w:rPr>
        <w:t>Ozyurt</w:t>
      </w:r>
      <w:proofErr w:type="spellEnd"/>
      <w:r w:rsidRPr="000F6D14">
        <w:rPr>
          <w:color w:val="212121"/>
        </w:rPr>
        <w:t xml:space="preserve">. Ce mécanisme pourrait même être encore plus rapide en cette période puisque « l'économie britannique doit affronter les effets du Brexit couplés à ceux de la pandémie, qui ont réduit la force de travail étrangère. Le manque de </w:t>
      </w:r>
      <w:proofErr w:type="spellStart"/>
      <w:r w:rsidRPr="000F6D14">
        <w:rPr>
          <w:color w:val="212121"/>
        </w:rPr>
        <w:t>main-d'oeuvre</w:t>
      </w:r>
      <w:proofErr w:type="spellEnd"/>
      <w:r w:rsidRPr="000F6D14">
        <w:rPr>
          <w:color w:val="212121"/>
        </w:rPr>
        <w:t xml:space="preserve"> se fait donc plus ressentir de l'autre côté de la Manche, ce qui tire certains salaires à la hausse », poursuit-elle.</w:t>
      </w:r>
    </w:p>
    <w:p w14:paraId="1E8DF6F0" w14:textId="77777777" w:rsidR="000F6D14" w:rsidRPr="000F6D14" w:rsidRDefault="0089268C" w:rsidP="000F6D14">
      <w:pPr>
        <w:pStyle w:val="sc-14kwckt-6"/>
        <w:shd w:val="clear" w:color="auto" w:fill="FFFFFF"/>
        <w:spacing w:before="0" w:beforeAutospacing="0" w:after="0" w:afterAutospacing="0"/>
        <w:ind w:left="720"/>
        <w:jc w:val="both"/>
        <w:rPr>
          <w:color w:val="212121"/>
        </w:rPr>
      </w:pPr>
      <w:r w:rsidRPr="000F6D14">
        <w:rPr>
          <w:color w:val="212121"/>
        </w:rPr>
        <w:t>Dans la zone euro, c'est moins le cas. En France et en Allemagne, la réaction des salaires à la hausse des prix se produit avec un retard de deux trimestres et l'augmentation salariale qui en résulte correspond à peine à l'inflation. A titre d'exemple, un choc de prix de 1 % a tendance à augmenter le salaire moyen français de 1 % au bout d'un an et demi, estime l'économiste </w:t>
      </w:r>
      <w:r w:rsidR="000F6D14" w:rsidRPr="000F6D14">
        <w:rPr>
          <w:color w:val="212121"/>
        </w:rPr>
        <w:t>dans une étude</w:t>
      </w:r>
      <w:r w:rsidRPr="000F6D14">
        <w:rPr>
          <w:color w:val="212121"/>
        </w:rPr>
        <w:t>.</w:t>
      </w:r>
    </w:p>
    <w:p w14:paraId="11A8E3E9" w14:textId="77777777" w:rsidR="000F6D14" w:rsidRPr="000F6D14" w:rsidRDefault="0089268C" w:rsidP="000F6D14">
      <w:pPr>
        <w:pStyle w:val="sc-14kwckt-6"/>
        <w:shd w:val="clear" w:color="auto" w:fill="FFFFFF"/>
        <w:spacing w:before="0" w:beforeAutospacing="0" w:after="0" w:afterAutospacing="0"/>
        <w:ind w:left="720"/>
        <w:jc w:val="both"/>
        <w:rPr>
          <w:color w:val="212121"/>
        </w:rPr>
      </w:pPr>
      <w:r w:rsidRPr="000F6D14">
        <w:rPr>
          <w:color w:val="212121"/>
        </w:rPr>
        <w:t>D'autres économistes tempèrent le risque d'un dérapage continu des prix à la suite des hausses de salaires. « La hausse des prix du gaz va amputer les profits des entreprises européennes de l'ordre de 3 %. Dans ce contexte, il est difficile d'envisager des hausses de salaires importantes dans la zone euro », estime Evelyn Herrmann, économiste chez Bank of America. Selon ses calculs, quand les salaires augmentent de 1 %, les profits baissent de 7 %.</w:t>
      </w:r>
    </w:p>
    <w:p w14:paraId="21F09CCD" w14:textId="3E5D0580" w:rsidR="0089268C" w:rsidRPr="000F6D14" w:rsidRDefault="0089268C" w:rsidP="000F6D14">
      <w:pPr>
        <w:pStyle w:val="sc-14kwckt-6"/>
        <w:shd w:val="clear" w:color="auto" w:fill="FFFFFF"/>
        <w:spacing w:before="0" w:beforeAutospacing="0" w:after="0" w:afterAutospacing="0"/>
        <w:ind w:left="720"/>
        <w:jc w:val="both"/>
        <w:rPr>
          <w:color w:val="212121"/>
        </w:rPr>
      </w:pPr>
      <w:r w:rsidRPr="000F6D14">
        <w:rPr>
          <w:color w:val="212121"/>
        </w:rPr>
        <w:t>Pour l'instant, rien n'indique une accélération des salaires. Dans la zone euro, la hausse des salaires négociés n'atteignait que 1,5 % sur un an au troisième trimestre 2021, son plus bas niveau depuis 10 ans. Il faut dire aussi que les Etats tentent depuis l'été de réduire l'impact de la hausse des prix de l'énergie sur les revenus des ménages via d'autres mécanismes, comme des chèques en France.</w:t>
      </w:r>
    </w:p>
    <w:p w14:paraId="36807A9F" w14:textId="77777777" w:rsidR="00D927B1" w:rsidRPr="000F6D14" w:rsidRDefault="00D927B1" w:rsidP="000F6D14">
      <w:pPr>
        <w:pStyle w:val="Paragraphedeliste"/>
        <w:jc w:val="both"/>
        <w:rPr>
          <w:rFonts w:ascii="Times New Roman" w:hAnsi="Times New Roman" w:cs="Times New Roman"/>
          <w:sz w:val="24"/>
          <w:szCs w:val="24"/>
        </w:rPr>
      </w:pPr>
    </w:p>
    <w:p w14:paraId="51849A6C" w14:textId="77777777" w:rsidR="00BC51B9" w:rsidRPr="000F6D14" w:rsidRDefault="00BC51B9" w:rsidP="000F6D14">
      <w:pPr>
        <w:pStyle w:val="Paragraphedeliste"/>
        <w:jc w:val="both"/>
        <w:rPr>
          <w:rFonts w:ascii="Times New Roman" w:hAnsi="Times New Roman" w:cs="Times New Roman"/>
          <w:sz w:val="24"/>
          <w:szCs w:val="24"/>
        </w:rPr>
      </w:pPr>
    </w:p>
    <w:p w14:paraId="76BE7B20" w14:textId="59D0B8FD"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1C0D11">
        <w:rPr>
          <w:rFonts w:ascii="Times New Roman" w:hAnsi="Times New Roman" w:cs="Times New Roman"/>
          <w:b/>
          <w:bCs/>
          <w:sz w:val="28"/>
          <w:szCs w:val="28"/>
        </w:rPr>
        <w:t>25 janvier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1C0D11">
        <w:rPr>
          <w:rFonts w:ascii="Times New Roman" w:hAnsi="Times New Roman" w:cs="Times New Roman"/>
          <w:b/>
          <w:bCs/>
          <w:sz w:val="28"/>
          <w:szCs w:val="28"/>
        </w:rPr>
        <w:t>2</w:t>
      </w:r>
    </w:p>
    <w:p w14:paraId="45224799" w14:textId="55CD0CF9" w:rsidR="00FC1581" w:rsidRPr="00FC1581" w:rsidRDefault="00974065" w:rsidP="00FC1581">
      <w:pPr>
        <w:pStyle w:val="NormalWeb"/>
        <w:spacing w:before="0" w:beforeAutospacing="0" w:after="0" w:afterAutospacing="0"/>
        <w:ind w:firstLine="708"/>
        <w:rPr>
          <w:b/>
          <w:bCs/>
        </w:rPr>
      </w:pPr>
      <w:r w:rsidRPr="00FC1581">
        <w:rPr>
          <w:b/>
          <w:bCs/>
        </w:rPr>
        <w:t xml:space="preserve">10h00 en </w:t>
      </w:r>
      <w:r w:rsidR="00FC1581" w:rsidRPr="00FC1581">
        <w:rPr>
          <w:b/>
          <w:bCs/>
        </w:rPr>
        <w:t>Allemagne</w:t>
      </w:r>
    </w:p>
    <w:p w14:paraId="259AD180" w14:textId="6A010B7A" w:rsidR="00974065" w:rsidRDefault="00974065" w:rsidP="00FC1581">
      <w:pPr>
        <w:pStyle w:val="NormalWeb"/>
        <w:spacing w:before="0" w:beforeAutospacing="0" w:after="0" w:afterAutospacing="0"/>
        <w:ind w:firstLine="708"/>
      </w:pPr>
      <w:r>
        <w:t xml:space="preserve">Indice </w:t>
      </w:r>
      <w:proofErr w:type="spellStart"/>
      <w:r>
        <w:t>Ifo</w:t>
      </w:r>
      <w:proofErr w:type="spellEnd"/>
      <w:r>
        <w:t xml:space="preserve"> du climat des affaires en janvier</w:t>
      </w:r>
    </w:p>
    <w:p w14:paraId="76775654" w14:textId="77777777" w:rsidR="00FC1581" w:rsidRDefault="00FC1581" w:rsidP="00FC1581">
      <w:pPr>
        <w:pStyle w:val="NormalWeb"/>
        <w:spacing w:before="0" w:beforeAutospacing="0" w:after="0" w:afterAutospacing="0"/>
      </w:pPr>
    </w:p>
    <w:p w14:paraId="3F63F0B2" w14:textId="77777777" w:rsidR="00974065" w:rsidRPr="00FC1581" w:rsidRDefault="00974065" w:rsidP="00FC1581">
      <w:pPr>
        <w:pStyle w:val="NormalWeb"/>
        <w:spacing w:before="0" w:beforeAutospacing="0" w:after="0" w:afterAutospacing="0"/>
        <w:ind w:firstLine="708"/>
        <w:rPr>
          <w:b/>
          <w:bCs/>
        </w:rPr>
      </w:pPr>
      <w:r w:rsidRPr="00FC1581">
        <w:rPr>
          <w:b/>
          <w:bCs/>
        </w:rPr>
        <w:t>15h00 aux Etats-Unis</w:t>
      </w:r>
    </w:p>
    <w:p w14:paraId="7815A44B" w14:textId="77777777" w:rsidR="00974065" w:rsidRDefault="00974065" w:rsidP="00FC1581">
      <w:pPr>
        <w:pStyle w:val="NormalWeb"/>
        <w:spacing w:before="0" w:beforeAutospacing="0" w:after="0" w:afterAutospacing="0"/>
        <w:ind w:firstLine="708"/>
      </w:pPr>
      <w:r>
        <w:t>Indice S&amp;P Case-</w:t>
      </w:r>
      <w:proofErr w:type="spellStart"/>
      <w:r>
        <w:t>Shiller</w:t>
      </w:r>
      <w:proofErr w:type="spellEnd"/>
      <w:r>
        <w:t xml:space="preserve"> des prix immobiliers en novembre</w:t>
      </w:r>
    </w:p>
    <w:p w14:paraId="0949F8C3" w14:textId="77777777" w:rsidR="00FC1581" w:rsidRDefault="00FC1581" w:rsidP="00FC1581">
      <w:pPr>
        <w:pStyle w:val="NormalWeb"/>
        <w:spacing w:before="0" w:beforeAutospacing="0" w:after="0" w:afterAutospacing="0"/>
      </w:pPr>
    </w:p>
    <w:p w14:paraId="714CC3F5" w14:textId="77777777" w:rsidR="00974065" w:rsidRPr="00FC1581" w:rsidRDefault="00974065" w:rsidP="00FC1581">
      <w:pPr>
        <w:pStyle w:val="NormalWeb"/>
        <w:spacing w:before="0" w:beforeAutospacing="0" w:after="0" w:afterAutospacing="0"/>
        <w:ind w:firstLine="708"/>
        <w:rPr>
          <w:b/>
          <w:bCs/>
        </w:rPr>
      </w:pPr>
      <w:r w:rsidRPr="00FC1581">
        <w:rPr>
          <w:b/>
          <w:bCs/>
        </w:rPr>
        <w:t>16h00 aux Etats-Unis</w:t>
      </w:r>
    </w:p>
    <w:p w14:paraId="290691CE" w14:textId="77777777" w:rsidR="00974065" w:rsidRDefault="00974065" w:rsidP="00FC1581">
      <w:pPr>
        <w:pStyle w:val="NormalWeb"/>
        <w:spacing w:before="0" w:beforeAutospacing="0" w:after="0" w:afterAutospacing="0"/>
        <w:ind w:firstLine="708"/>
      </w:pPr>
      <w:r>
        <w:t xml:space="preserve">Indice de confiance des consommateurs du </w:t>
      </w:r>
      <w:proofErr w:type="spellStart"/>
      <w:r>
        <w:t>Conference</w:t>
      </w:r>
      <w:proofErr w:type="spellEnd"/>
      <w:r>
        <w:t xml:space="preserve"> </w:t>
      </w:r>
      <w:proofErr w:type="spellStart"/>
      <w:r>
        <w:t>Board</w:t>
      </w:r>
      <w:proofErr w:type="spellEnd"/>
      <w:r>
        <w:t xml:space="preserve"> en janvier</w:t>
      </w:r>
    </w:p>
    <w:p w14:paraId="245C74CC" w14:textId="77777777" w:rsidR="002539F4" w:rsidRPr="00974065" w:rsidRDefault="002539F4" w:rsidP="00974065">
      <w:pPr>
        <w:rPr>
          <w:rFonts w:ascii="Times New Roman" w:hAnsi="Times New Roman" w:cs="Times New Roman"/>
          <w:sz w:val="28"/>
          <w:szCs w:val="28"/>
        </w:rPr>
      </w:pPr>
    </w:p>
    <w:sectPr w:rsidR="002539F4" w:rsidRPr="00974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F6D14"/>
    <w:rsid w:val="001070E7"/>
    <w:rsid w:val="001119B0"/>
    <w:rsid w:val="00154A6F"/>
    <w:rsid w:val="00184438"/>
    <w:rsid w:val="001A335C"/>
    <w:rsid w:val="001B24C4"/>
    <w:rsid w:val="001C0D11"/>
    <w:rsid w:val="001E7353"/>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A52D2"/>
    <w:rsid w:val="005B21A9"/>
    <w:rsid w:val="005F1191"/>
    <w:rsid w:val="00643302"/>
    <w:rsid w:val="0065405E"/>
    <w:rsid w:val="00662C34"/>
    <w:rsid w:val="00666D40"/>
    <w:rsid w:val="006C58E5"/>
    <w:rsid w:val="006E1AFE"/>
    <w:rsid w:val="007311E1"/>
    <w:rsid w:val="007323CC"/>
    <w:rsid w:val="00750611"/>
    <w:rsid w:val="00774252"/>
    <w:rsid w:val="007A1184"/>
    <w:rsid w:val="007B5872"/>
    <w:rsid w:val="007C0DFB"/>
    <w:rsid w:val="007E1A9B"/>
    <w:rsid w:val="007E4776"/>
    <w:rsid w:val="008062A7"/>
    <w:rsid w:val="00845B07"/>
    <w:rsid w:val="008545BC"/>
    <w:rsid w:val="008559E1"/>
    <w:rsid w:val="00876562"/>
    <w:rsid w:val="0089268C"/>
    <w:rsid w:val="0090180A"/>
    <w:rsid w:val="00904808"/>
    <w:rsid w:val="00923F26"/>
    <w:rsid w:val="009343BE"/>
    <w:rsid w:val="0093521B"/>
    <w:rsid w:val="00962D6B"/>
    <w:rsid w:val="00972B8B"/>
    <w:rsid w:val="00973F0B"/>
    <w:rsid w:val="00974065"/>
    <w:rsid w:val="00995449"/>
    <w:rsid w:val="00995A0B"/>
    <w:rsid w:val="009967C8"/>
    <w:rsid w:val="00997CAB"/>
    <w:rsid w:val="00A14AAE"/>
    <w:rsid w:val="00A63730"/>
    <w:rsid w:val="00A752C8"/>
    <w:rsid w:val="00A95749"/>
    <w:rsid w:val="00AA35BF"/>
    <w:rsid w:val="00AB111E"/>
    <w:rsid w:val="00AC4A8C"/>
    <w:rsid w:val="00AE4C61"/>
    <w:rsid w:val="00B069C2"/>
    <w:rsid w:val="00B3139B"/>
    <w:rsid w:val="00B3726B"/>
    <w:rsid w:val="00B62141"/>
    <w:rsid w:val="00BC51B9"/>
    <w:rsid w:val="00C04554"/>
    <w:rsid w:val="00C12973"/>
    <w:rsid w:val="00C1699B"/>
    <w:rsid w:val="00C30549"/>
    <w:rsid w:val="00C45089"/>
    <w:rsid w:val="00C45F11"/>
    <w:rsid w:val="00C57C59"/>
    <w:rsid w:val="00C92368"/>
    <w:rsid w:val="00C935F2"/>
    <w:rsid w:val="00CA4B61"/>
    <w:rsid w:val="00CB2F95"/>
    <w:rsid w:val="00CE2A19"/>
    <w:rsid w:val="00CF7DE6"/>
    <w:rsid w:val="00D11D81"/>
    <w:rsid w:val="00D73964"/>
    <w:rsid w:val="00D773DB"/>
    <w:rsid w:val="00D84A99"/>
    <w:rsid w:val="00D927B1"/>
    <w:rsid w:val="00DA52BA"/>
    <w:rsid w:val="00DC7BBD"/>
    <w:rsid w:val="00DE13CA"/>
    <w:rsid w:val="00E1589C"/>
    <w:rsid w:val="00E45027"/>
    <w:rsid w:val="00E57F64"/>
    <w:rsid w:val="00E94C51"/>
    <w:rsid w:val="00E976CD"/>
    <w:rsid w:val="00EA596F"/>
    <w:rsid w:val="00F05A79"/>
    <w:rsid w:val="00F374E7"/>
    <w:rsid w:val="00F66F96"/>
    <w:rsid w:val="00F775B7"/>
    <w:rsid w:val="00F8139D"/>
    <w:rsid w:val="00FC1581"/>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8926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89268C"/>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8926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2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86281768">
      <w:bodyDiv w:val="1"/>
      <w:marLeft w:val="0"/>
      <w:marRight w:val="0"/>
      <w:marTop w:val="0"/>
      <w:marBottom w:val="0"/>
      <w:divBdr>
        <w:top w:val="none" w:sz="0" w:space="0" w:color="auto"/>
        <w:left w:val="none" w:sz="0" w:space="0" w:color="auto"/>
        <w:bottom w:val="none" w:sz="0" w:space="0" w:color="auto"/>
        <w:right w:val="none" w:sz="0" w:space="0" w:color="auto"/>
      </w:divBdr>
    </w:div>
    <w:div w:id="290063455">
      <w:bodyDiv w:val="1"/>
      <w:marLeft w:val="0"/>
      <w:marRight w:val="0"/>
      <w:marTop w:val="0"/>
      <w:marBottom w:val="0"/>
      <w:divBdr>
        <w:top w:val="none" w:sz="0" w:space="0" w:color="auto"/>
        <w:left w:val="none" w:sz="0" w:space="0" w:color="auto"/>
        <w:bottom w:val="none" w:sz="0" w:space="0" w:color="auto"/>
        <w:right w:val="none" w:sz="0" w:space="0" w:color="auto"/>
      </w:divBdr>
    </w:div>
    <w:div w:id="299383166">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44378881">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74683009">
      <w:bodyDiv w:val="1"/>
      <w:marLeft w:val="0"/>
      <w:marRight w:val="0"/>
      <w:marTop w:val="0"/>
      <w:marBottom w:val="0"/>
      <w:divBdr>
        <w:top w:val="none" w:sz="0" w:space="0" w:color="auto"/>
        <w:left w:val="none" w:sz="0" w:space="0" w:color="auto"/>
        <w:bottom w:val="none" w:sz="0" w:space="0" w:color="auto"/>
        <w:right w:val="none" w:sz="0" w:space="0" w:color="auto"/>
      </w:divBdr>
      <w:divsChild>
        <w:div w:id="989795907">
          <w:marLeft w:val="0"/>
          <w:marRight w:val="0"/>
          <w:marTop w:val="600"/>
          <w:marBottom w:val="0"/>
          <w:divBdr>
            <w:top w:val="none" w:sz="0" w:space="0" w:color="auto"/>
            <w:left w:val="none" w:sz="0" w:space="0" w:color="auto"/>
            <w:bottom w:val="none" w:sz="0" w:space="0" w:color="auto"/>
            <w:right w:val="none" w:sz="0" w:space="0" w:color="auto"/>
          </w:divBdr>
        </w:div>
        <w:div w:id="567152082">
          <w:marLeft w:val="0"/>
          <w:marRight w:val="0"/>
          <w:marTop w:val="600"/>
          <w:marBottom w:val="0"/>
          <w:divBdr>
            <w:top w:val="none" w:sz="0" w:space="0" w:color="auto"/>
            <w:left w:val="none" w:sz="0" w:space="0" w:color="auto"/>
            <w:bottom w:val="none" w:sz="0" w:space="0" w:color="auto"/>
            <w:right w:val="none" w:sz="0" w:space="0" w:color="auto"/>
          </w:divBdr>
        </w:div>
      </w:divsChild>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14475168">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50912599">
      <w:bodyDiv w:val="1"/>
      <w:marLeft w:val="0"/>
      <w:marRight w:val="0"/>
      <w:marTop w:val="0"/>
      <w:marBottom w:val="0"/>
      <w:divBdr>
        <w:top w:val="none" w:sz="0" w:space="0" w:color="auto"/>
        <w:left w:val="none" w:sz="0" w:space="0" w:color="auto"/>
        <w:bottom w:val="none" w:sz="0" w:space="0" w:color="auto"/>
        <w:right w:val="none" w:sz="0" w:space="0" w:color="auto"/>
      </w:divBdr>
    </w:div>
    <w:div w:id="2068453139">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1936</Words>
  <Characters>10650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18</cp:revision>
  <dcterms:created xsi:type="dcterms:W3CDTF">2022-01-24T20:58:00Z</dcterms:created>
  <dcterms:modified xsi:type="dcterms:W3CDTF">2022-01-24T22:02:00Z</dcterms:modified>
</cp:coreProperties>
</file>