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7D5CA7E3"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E5568B">
        <w:rPr>
          <w:rFonts w:ascii="Times New Roman" w:hAnsi="Times New Roman" w:cs="Times New Roman"/>
          <w:b/>
          <w:bCs/>
          <w:sz w:val="28"/>
          <w:szCs w:val="28"/>
        </w:rPr>
        <w:t>0</w:t>
      </w:r>
      <w:r w:rsidR="002D2AAE" w:rsidRPr="00390B38">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5E9BD0B1" w14:textId="77777777" w:rsidR="00702D18" w:rsidRDefault="0080346A" w:rsidP="008B142C">
      <w:pPr>
        <w:pStyle w:val="NormalWeb"/>
        <w:numPr>
          <w:ilvl w:val="0"/>
          <w:numId w:val="6"/>
        </w:numPr>
        <w:jc w:val="both"/>
      </w:pPr>
      <w:r>
        <w:t>C</w:t>
      </w:r>
      <w:r w:rsidR="00C23A24">
        <w:t xml:space="preserve">'était </w:t>
      </w:r>
      <w:r>
        <w:t>mardi</w:t>
      </w:r>
      <w:r w:rsidR="00C23A24">
        <w:t xml:space="preserve"> matin au tour de la Banque du Japon de surprendre les investisseurs en ajustant sa politique monétaire très accommodante. Cette décision a entraîné de nouvelles tensions sur le marché des taux longs, avec un rendement du 10 ans américain en progression de 8 points de base à 3,67%. A quelques minutes de la cloche, les futures sur le S&amp;P 500 et le Nasdaq Composite perdent respectivement 0,19% et 0,43%.</w:t>
      </w:r>
    </w:p>
    <w:p w14:paraId="4E459C1F" w14:textId="77777777" w:rsidR="00702D18" w:rsidRDefault="00C23A24" w:rsidP="008B142C">
      <w:pPr>
        <w:pStyle w:val="NormalWeb"/>
        <w:numPr>
          <w:ilvl w:val="0"/>
          <w:numId w:val="6"/>
        </w:numPr>
        <w:jc w:val="both"/>
      </w:pPr>
      <w:r>
        <w:t>1,342 million de permis de construire ont été enregistrés en novembre 2022 en rythme annuel aux Etats-Unis. Le consensus visait 1,485 million, après 1,512 million en octobre.</w:t>
      </w:r>
    </w:p>
    <w:p w14:paraId="6EC54BC0" w14:textId="77777777" w:rsidR="00680B3E" w:rsidRDefault="00C23A24" w:rsidP="008B142C">
      <w:pPr>
        <w:pStyle w:val="NormalWeb"/>
        <w:numPr>
          <w:ilvl w:val="0"/>
          <w:numId w:val="6"/>
        </w:numPr>
        <w:jc w:val="both"/>
      </w:pPr>
      <w:r>
        <w:t>Aux Etats-Unis, 1,427 million de mises en chantier ont été comptabilisées en novembre 2022 en rythme annuel. Le consensus tablait sur 1,4 million, après 1,434 million en octobre (chiffre révisé de 1,425 million).</w:t>
      </w:r>
    </w:p>
    <w:p w14:paraId="476DD93C" w14:textId="66413619" w:rsidR="00933594" w:rsidRDefault="00933594" w:rsidP="008B142C">
      <w:pPr>
        <w:pStyle w:val="NormalWeb"/>
        <w:numPr>
          <w:ilvl w:val="0"/>
          <w:numId w:val="6"/>
        </w:numPr>
        <w:spacing w:before="0" w:beforeAutospacing="0" w:after="0" w:afterAutospacing="0"/>
        <w:jc w:val="both"/>
      </w:pPr>
      <w:r>
        <w:t xml:space="preserve">L’indice des prix à la production a reculé de 3,9% en novembre par rapport à octobre en Allemagne, a indiqué </w:t>
      </w:r>
      <w:proofErr w:type="spellStart"/>
      <w:r>
        <w:t>Destatis</w:t>
      </w:r>
      <w:proofErr w:type="spellEnd"/>
      <w:r>
        <w:t>, l’office fédérale de la statistique. Il était attendu en repli de 2,5%. Il a reculé pour la deuxième fois d’affilée. Il avait déjà baissé de 4,2% en octobre.</w:t>
      </w:r>
    </w:p>
    <w:p w14:paraId="484D92AF" w14:textId="77777777" w:rsidR="00680B3E" w:rsidRDefault="00680B3E" w:rsidP="008B142C">
      <w:pPr>
        <w:pStyle w:val="NormalWeb"/>
        <w:spacing w:before="0" w:beforeAutospacing="0" w:after="0" w:afterAutospacing="0"/>
        <w:ind w:left="720"/>
        <w:jc w:val="both"/>
      </w:pPr>
    </w:p>
    <w:p w14:paraId="4387B7F5" w14:textId="77777777" w:rsidR="00933594" w:rsidRDefault="00933594" w:rsidP="008B142C">
      <w:pPr>
        <w:pStyle w:val="NormalWeb"/>
        <w:numPr>
          <w:ilvl w:val="0"/>
          <w:numId w:val="6"/>
        </w:numPr>
        <w:spacing w:before="0" w:beforeAutospacing="0" w:after="0" w:afterAutospacing="0"/>
        <w:jc w:val="both"/>
      </w:pPr>
      <w:r>
        <w:t>A la clôture, l'euro gagne 0,22% à 1,0631 dollar.</w:t>
      </w:r>
    </w:p>
    <w:p w14:paraId="7F9FA0C3" w14:textId="77777777" w:rsidR="00C23A24" w:rsidRDefault="00C23A24" w:rsidP="00390B38">
      <w:pPr>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7DF3CE86" w14:textId="77777777" w:rsidR="0012252A" w:rsidRPr="008B142C" w:rsidRDefault="0012252A" w:rsidP="008B142C">
      <w:pPr>
        <w:pStyle w:val="NormalWeb"/>
        <w:numPr>
          <w:ilvl w:val="0"/>
          <w:numId w:val="7"/>
        </w:numPr>
        <w:spacing w:before="0" w:beforeAutospacing="0" w:after="0" w:afterAutospacing="0"/>
        <w:jc w:val="both"/>
      </w:pPr>
      <w:r w:rsidRPr="008B142C">
        <w:t xml:space="preserve">Parmi les plus forte baisses du CAC 40, Engie a chuté de 3,30% à 13,49 euros ; la Commission des provisions nucléaires lui demandant d'augmenter fortement les provisions pour le démantèlement des centrales nucléaires belges et la gestion de l’aval du cycle du combustible usé. Il s'agit d'une hausse de 2,9 milliards d’euros pour celles portées par </w:t>
      </w:r>
      <w:proofErr w:type="spellStart"/>
      <w:r w:rsidRPr="008B142C">
        <w:t>Synatom</w:t>
      </w:r>
      <w:proofErr w:type="spellEnd"/>
      <w:r w:rsidRPr="008B142C">
        <w:t xml:space="preserve"> et de 0,4 milliard pour celles portées par Electrabel, soit un total de 3,3 milliards d’euros. En conséquence, Engie serait amené à constater une augmentation de 2,3 milliards d'euros de la provision pour démantèlement pour la fin de l'année 2022. </w:t>
      </w:r>
    </w:p>
    <w:p w14:paraId="65B22B4E" w14:textId="77777777" w:rsidR="00D15939" w:rsidRPr="008B142C" w:rsidRDefault="00D15939" w:rsidP="008B142C">
      <w:pPr>
        <w:pStyle w:val="NormalWeb"/>
        <w:spacing w:before="0" w:beforeAutospacing="0" w:after="0" w:afterAutospacing="0"/>
        <w:ind w:left="720"/>
        <w:jc w:val="both"/>
      </w:pPr>
    </w:p>
    <w:p w14:paraId="0D46ECFC" w14:textId="77777777" w:rsidR="0012252A" w:rsidRPr="008B142C" w:rsidRDefault="0012252A" w:rsidP="008B142C">
      <w:pPr>
        <w:pStyle w:val="NormalWeb"/>
        <w:numPr>
          <w:ilvl w:val="0"/>
          <w:numId w:val="7"/>
        </w:numPr>
        <w:spacing w:before="0" w:beforeAutospacing="0" w:after="0" w:afterAutospacing="0"/>
        <w:jc w:val="both"/>
      </w:pPr>
      <w:r w:rsidRPr="008B142C">
        <w:t>Elior (+3,87% à 3,274 euros) affiche la plus forte hausse de l'indice SBF 120 tandis que Derichebourg a perdu 1,56% à 5,36 euros. Les deux groupes ont annoncé la signature d'un protocole aux termes duquel Elior pourrait acquérir l'activité Derichebourg Multiservices (DMS) en échange d'actions nouvelles Elior Group. Ce projet, qui permettrait d'accélérer le redressement du groupe de restauration collective, est l'aboutissement de la revue des options stratégiques, initiée par le conseil d'administration en juillet 2022.</w:t>
      </w:r>
    </w:p>
    <w:p w14:paraId="3BF418C6" w14:textId="77777777" w:rsidR="00D15939" w:rsidRPr="008B142C" w:rsidRDefault="00D15939" w:rsidP="008B142C">
      <w:pPr>
        <w:pStyle w:val="Paragraphedeliste"/>
        <w:spacing w:after="0"/>
        <w:jc w:val="both"/>
        <w:rPr>
          <w:rFonts w:ascii="Times New Roman" w:hAnsi="Times New Roman" w:cs="Times New Roman"/>
          <w:sz w:val="24"/>
          <w:szCs w:val="24"/>
        </w:rPr>
      </w:pPr>
    </w:p>
    <w:p w14:paraId="714D4244" w14:textId="77777777" w:rsidR="00D15939" w:rsidRPr="008B142C" w:rsidRDefault="00D15939" w:rsidP="008B142C">
      <w:pPr>
        <w:pStyle w:val="NormalWeb"/>
        <w:spacing w:before="0" w:beforeAutospacing="0" w:after="0" w:afterAutospacing="0"/>
        <w:ind w:left="720"/>
        <w:jc w:val="both"/>
      </w:pPr>
    </w:p>
    <w:p w14:paraId="51DBB20C" w14:textId="2CDF0649" w:rsidR="0012252A" w:rsidRPr="008B142C" w:rsidRDefault="00D15939" w:rsidP="008B142C">
      <w:pPr>
        <w:pStyle w:val="Paragraphedeliste"/>
        <w:numPr>
          <w:ilvl w:val="0"/>
          <w:numId w:val="7"/>
        </w:numPr>
        <w:spacing w:after="0"/>
        <w:jc w:val="both"/>
        <w:rPr>
          <w:rFonts w:ascii="Times New Roman" w:hAnsi="Times New Roman" w:cs="Times New Roman"/>
          <w:b/>
          <w:bCs/>
          <w:sz w:val="24"/>
          <w:szCs w:val="24"/>
        </w:rPr>
      </w:pPr>
      <w:r w:rsidRPr="008B142C">
        <w:rPr>
          <w:rFonts w:ascii="Times New Roman" w:hAnsi="Times New Roman" w:cs="Times New Roman"/>
          <w:sz w:val="24"/>
          <w:szCs w:val="24"/>
        </w:rPr>
        <w:t xml:space="preserve">Sage a perdu 2,81% à 749,50 pence, pénalisé par la dégradation de recommandation d'UBS et un contexte défavorable pour les valeurs technologiques. La banque suisse a </w:t>
      </w:r>
      <w:r w:rsidRPr="008B142C">
        <w:rPr>
          <w:rFonts w:ascii="Times New Roman" w:hAnsi="Times New Roman" w:cs="Times New Roman"/>
          <w:sz w:val="24"/>
          <w:szCs w:val="24"/>
        </w:rPr>
        <w:lastRenderedPageBreak/>
        <w:t>abaissé son conseil sur l'éditeur de logiciels de Neutre à Vendre et son objectif de cours de 745 pence à 720 pence car elle s'attend à ce que la pression sur les marges persiste. L'analyste pense que les pressions en cours sur les marges ont été masquées l'an dernier par des reprises de provisions pour créances douteuses et par le bénéfice d'une importante restructuration.</w:t>
      </w:r>
    </w:p>
    <w:p w14:paraId="374917CC" w14:textId="77777777" w:rsidR="00017B10" w:rsidRPr="008B142C" w:rsidRDefault="00017B10" w:rsidP="008B142C">
      <w:pPr>
        <w:spacing w:after="0"/>
        <w:jc w:val="both"/>
        <w:rPr>
          <w:rFonts w:ascii="Times New Roman" w:hAnsi="Times New Roman" w:cs="Times New Roman"/>
          <w:b/>
          <w:bCs/>
          <w:sz w:val="24"/>
          <w:szCs w:val="24"/>
        </w:rPr>
      </w:pPr>
    </w:p>
    <w:p w14:paraId="3F2A336A" w14:textId="11FDABA8" w:rsidR="00017B10" w:rsidRPr="008B142C" w:rsidRDefault="00017B10" w:rsidP="008B142C">
      <w:pPr>
        <w:pStyle w:val="Paragraphedeliste"/>
        <w:numPr>
          <w:ilvl w:val="0"/>
          <w:numId w:val="7"/>
        </w:numPr>
        <w:spacing w:after="0"/>
        <w:jc w:val="both"/>
        <w:rPr>
          <w:rFonts w:ascii="Times New Roman" w:hAnsi="Times New Roman" w:cs="Times New Roman"/>
          <w:b/>
          <w:bCs/>
          <w:sz w:val="24"/>
          <w:szCs w:val="24"/>
        </w:rPr>
      </w:pPr>
      <w:r w:rsidRPr="008B142C">
        <w:rPr>
          <w:rFonts w:ascii="Times New Roman" w:hAnsi="Times New Roman" w:cs="Times New Roman"/>
          <w:sz w:val="24"/>
          <w:szCs w:val="24"/>
        </w:rPr>
        <w:t xml:space="preserve">La Commission européenne a rendu les engagements offerts par Amazon juridiquement contraignants en vertu des règles de l'Union en matière de pratiques anticoncurrentielles. Les engagements offerts par Amazon répondent aux préoccupations de Bruxelles en matière de concurrence en ce qui concerne l'utilisation par Amazon des données non publiques des vendeurs actifs sur sa place de marché et une éventuelle partialité dans l'octroi aux vendeurs de l'accès à sa </w:t>
      </w:r>
      <w:proofErr w:type="spellStart"/>
      <w:r w:rsidRPr="008B142C">
        <w:rPr>
          <w:rFonts w:ascii="Times New Roman" w:hAnsi="Times New Roman" w:cs="Times New Roman"/>
          <w:sz w:val="24"/>
          <w:szCs w:val="24"/>
        </w:rPr>
        <w:t>Buy</w:t>
      </w:r>
      <w:proofErr w:type="spellEnd"/>
      <w:r w:rsidRPr="008B142C">
        <w:rPr>
          <w:rFonts w:ascii="Times New Roman" w:hAnsi="Times New Roman" w:cs="Times New Roman"/>
          <w:sz w:val="24"/>
          <w:szCs w:val="24"/>
        </w:rPr>
        <w:t xml:space="preserve"> Box et à son programme Prime.</w:t>
      </w:r>
    </w:p>
    <w:p w14:paraId="3E0C30CA" w14:textId="77777777" w:rsidR="004E6C29" w:rsidRPr="008B142C" w:rsidRDefault="004E6C29" w:rsidP="008B142C">
      <w:pPr>
        <w:pStyle w:val="Paragraphedeliste"/>
        <w:jc w:val="both"/>
        <w:rPr>
          <w:rFonts w:ascii="Times New Roman" w:hAnsi="Times New Roman" w:cs="Times New Roman"/>
          <w:b/>
          <w:bCs/>
          <w:sz w:val="24"/>
          <w:szCs w:val="24"/>
        </w:rPr>
      </w:pPr>
    </w:p>
    <w:p w14:paraId="33CE9634" w14:textId="77777777" w:rsidR="004E6C29" w:rsidRPr="008B142C" w:rsidRDefault="004E6C29" w:rsidP="008B142C">
      <w:pPr>
        <w:pStyle w:val="NormalWeb"/>
        <w:numPr>
          <w:ilvl w:val="0"/>
          <w:numId w:val="7"/>
        </w:numPr>
        <w:spacing w:before="0" w:beforeAutospacing="0" w:after="0" w:afterAutospacing="0"/>
        <w:jc w:val="both"/>
      </w:pPr>
      <w:r w:rsidRPr="008B142C">
        <w:t xml:space="preserve">Alstom, entreprise mondiale de la mobilité durable et intelligente, a livré avec succès l'extension du système de transport automatisé de personnes (APM) PHX Sky Train de l'aéroport international de Phoenix Sky Harbor (en Arizona), assurant les liaisons entre l'aéroport, le système de train léger sur rail et le centre de location de voitures. Cette extension du système PHX Sky Train permet non seulement d'augmenter la capacité, mais aussi d'offrir des liaisons multimodales et faciles d'accès entre la ville de Phoenix et l'aéroport. </w:t>
      </w:r>
    </w:p>
    <w:p w14:paraId="17651758" w14:textId="77777777" w:rsidR="004E6C29" w:rsidRPr="008B142C" w:rsidRDefault="004E6C29" w:rsidP="008B142C">
      <w:pPr>
        <w:pStyle w:val="NormalWeb"/>
        <w:spacing w:before="0" w:beforeAutospacing="0" w:after="0" w:afterAutospacing="0"/>
        <w:ind w:left="720"/>
        <w:jc w:val="both"/>
      </w:pPr>
      <w:r w:rsidRPr="008B142C">
        <w:t>Cette extension permet aussi d'améliorer l'expérience globale des voyageurs qui empruntent un vol national ou international à l'aéroport.</w:t>
      </w:r>
    </w:p>
    <w:p w14:paraId="1C3D4544" w14:textId="77777777" w:rsidR="004E6C29" w:rsidRPr="008B142C" w:rsidRDefault="004E6C29" w:rsidP="008B142C">
      <w:pPr>
        <w:pStyle w:val="NormalWeb"/>
        <w:spacing w:before="0" w:beforeAutospacing="0" w:after="0" w:afterAutospacing="0"/>
        <w:ind w:left="720"/>
        <w:jc w:val="both"/>
      </w:pPr>
      <w:r w:rsidRPr="008B142C">
        <w:t xml:space="preserve">Dans le cadre de son contrat pour l'extension de 4 kilomètres, Alstom a livré une solution clé en main complète comprenant des équipements électromécaniques et de guidage, l'agrandissement du centre de maintenance et de stockage actuel, un véhicule de dépannage d'entretien, la modernisation du système de signalisation en bordure de voie et la mise à niveau des véhicules déjà en service. </w:t>
      </w:r>
    </w:p>
    <w:p w14:paraId="75970150" w14:textId="77777777" w:rsidR="004E6C29" w:rsidRPr="008B142C" w:rsidRDefault="004E6C29" w:rsidP="008B142C">
      <w:pPr>
        <w:pStyle w:val="NormalWeb"/>
        <w:spacing w:before="0" w:beforeAutospacing="0" w:after="0" w:afterAutospacing="0"/>
        <w:ind w:left="720"/>
        <w:jc w:val="both"/>
      </w:pPr>
      <w:r w:rsidRPr="008B142C">
        <w:t xml:space="preserve">En outre, 24 nouvelles voitures </w:t>
      </w:r>
      <w:proofErr w:type="spellStart"/>
      <w:r w:rsidRPr="008B142C">
        <w:t>Innovia</w:t>
      </w:r>
      <w:proofErr w:type="spellEnd"/>
      <w:r w:rsidRPr="008B142C">
        <w:t xml:space="preserve"> APM 200 permettent de faire passer les trains de 2 à 3 voitures, ce qui permet de transporter un plus grand nombre de passagers, plus confortablement et plus rapidement, dans et autour des installations aéroportuaires. </w:t>
      </w:r>
    </w:p>
    <w:p w14:paraId="49C5A307" w14:textId="7CE7E968" w:rsidR="004E6C29" w:rsidRPr="008B142C" w:rsidRDefault="004E6C29" w:rsidP="008B142C">
      <w:pPr>
        <w:pStyle w:val="NormalWeb"/>
        <w:spacing w:before="0" w:beforeAutospacing="0" w:after="0" w:afterAutospacing="0"/>
        <w:ind w:left="720"/>
        <w:jc w:val="both"/>
      </w:pPr>
      <w:r w:rsidRPr="008B142C">
        <w:t>Alstom a livré l'extension du système de transport, tout en maintenant les opérations actuelles du PHX Sky Train pendant toute la durée de la construction et des tests, sans aucun impact sur la disponibilité ou la fiabilité du système.</w:t>
      </w:r>
    </w:p>
    <w:p w14:paraId="06783B83" w14:textId="77777777" w:rsidR="008B142C" w:rsidRPr="008B142C" w:rsidRDefault="008B142C" w:rsidP="008B142C">
      <w:pPr>
        <w:pStyle w:val="NormalWeb"/>
        <w:spacing w:before="0" w:beforeAutospacing="0" w:after="0" w:afterAutospacing="0"/>
        <w:ind w:left="720"/>
        <w:jc w:val="both"/>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4064DDC1" w14:textId="1E2036AB" w:rsidR="00C050F9" w:rsidRPr="00FF2A43" w:rsidRDefault="00C050F9" w:rsidP="00FF2A43">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FF2A43">
        <w:rPr>
          <w:rFonts w:ascii="Times New Roman" w:eastAsia="Times New Roman" w:hAnsi="Times New Roman" w:cs="Times New Roman"/>
          <w:sz w:val="24"/>
          <w:szCs w:val="24"/>
          <w:lang w:eastAsia="fr-FR"/>
        </w:rPr>
        <w:t xml:space="preserve">La récente détente des prix est trompeuse. Le pétrole ne se facture plus qu'autour de 80 dollars et le gaz naturel est retombé à 100 euros le MWh, </w:t>
      </w:r>
      <w:r w:rsidRPr="00FF2A43">
        <w:rPr>
          <w:rFonts w:ascii="Times New Roman" w:eastAsia="Times New Roman" w:hAnsi="Times New Roman" w:cs="Times New Roman"/>
          <w:sz w:val="24"/>
          <w:szCs w:val="24"/>
          <w:lang w:eastAsia="fr-FR"/>
        </w:rPr>
        <w:t xml:space="preserve">contre 345 euros cet </w:t>
      </w:r>
      <w:r w:rsidR="00145404" w:rsidRPr="00FF2A43">
        <w:rPr>
          <w:rFonts w:ascii="Times New Roman" w:eastAsia="Times New Roman" w:hAnsi="Times New Roman" w:cs="Times New Roman"/>
          <w:sz w:val="24"/>
          <w:szCs w:val="24"/>
          <w:lang w:eastAsia="fr-FR"/>
        </w:rPr>
        <w:t xml:space="preserve">été. </w:t>
      </w:r>
      <w:r w:rsidRPr="00FF2A43">
        <w:rPr>
          <w:rFonts w:ascii="Times New Roman" w:eastAsia="Times New Roman" w:hAnsi="Times New Roman" w:cs="Times New Roman"/>
          <w:sz w:val="24"/>
          <w:szCs w:val="24"/>
          <w:lang w:eastAsia="fr-FR"/>
        </w:rPr>
        <w:t xml:space="preserve">Mais cela n'empêche pas l'année 2022 de s'annoncer exceptionnelle pour l'ensemble des matières premières. Sauf coup de théâtre, elles devraient même décrocher l'or au palmarès des classes d'actifs les plus performantes, et ce pour la deuxième année consécutive. Le rendement de l'indice S&amp;P GS </w:t>
      </w:r>
      <w:proofErr w:type="spellStart"/>
      <w:r w:rsidRPr="00FF2A43">
        <w:rPr>
          <w:rFonts w:ascii="Times New Roman" w:eastAsia="Times New Roman" w:hAnsi="Times New Roman" w:cs="Times New Roman"/>
          <w:sz w:val="24"/>
          <w:szCs w:val="24"/>
          <w:lang w:eastAsia="fr-FR"/>
        </w:rPr>
        <w:t>Commodity</w:t>
      </w:r>
      <w:proofErr w:type="spellEnd"/>
      <w:r w:rsidRPr="00FF2A43">
        <w:rPr>
          <w:rFonts w:ascii="Times New Roman" w:eastAsia="Times New Roman" w:hAnsi="Times New Roman" w:cs="Times New Roman"/>
          <w:sz w:val="24"/>
          <w:szCs w:val="24"/>
          <w:lang w:eastAsia="fr-FR"/>
        </w:rPr>
        <w:t xml:space="preserve"> Index sera d'environ 23 % en 2022, après avoir déjà enregistré une performance record de 42 % en 2021.</w:t>
      </w:r>
    </w:p>
    <w:p w14:paraId="789C00A3" w14:textId="77777777" w:rsidR="00C050F9" w:rsidRPr="00C050F9" w:rsidRDefault="00C050F9" w:rsidP="00FF2A43">
      <w:pPr>
        <w:spacing w:after="0" w:line="240" w:lineRule="auto"/>
        <w:ind w:left="708"/>
        <w:jc w:val="both"/>
        <w:rPr>
          <w:rFonts w:ascii="Times New Roman" w:eastAsia="Times New Roman" w:hAnsi="Times New Roman" w:cs="Times New Roman"/>
          <w:sz w:val="24"/>
          <w:szCs w:val="24"/>
          <w:lang w:eastAsia="fr-FR"/>
        </w:rPr>
      </w:pPr>
      <w:r w:rsidRPr="00C050F9">
        <w:rPr>
          <w:rFonts w:ascii="Times New Roman" w:eastAsia="Times New Roman" w:hAnsi="Times New Roman" w:cs="Times New Roman"/>
          <w:sz w:val="24"/>
          <w:szCs w:val="24"/>
          <w:lang w:eastAsia="fr-FR"/>
        </w:rPr>
        <w:t xml:space="preserve">L'envolée des prix n'est d'ailleurs pas près de s'arrêter puisque l'année 2023 s'annonce encore meilleure, à en croire les analystes de Goldman Sachs. D'après leurs modèles de prévisions, les matières premières devraient offrir un rendement de 43 % et monter une nouvelle fois sur la première marche du podium des classes d'actifs les plus performantes. Le premier trimestre sera certes cahoteux, avertissent les experts de la banque américaine, en raison du ralentissement de l'activité en Chine et aux Etats-Unis, </w:t>
      </w:r>
      <w:r w:rsidRPr="00C050F9">
        <w:rPr>
          <w:rFonts w:ascii="Times New Roman" w:eastAsia="Times New Roman" w:hAnsi="Times New Roman" w:cs="Times New Roman"/>
          <w:sz w:val="24"/>
          <w:szCs w:val="24"/>
          <w:lang w:eastAsia="fr-FR"/>
        </w:rPr>
        <w:lastRenderedPageBreak/>
        <w:t>mais des pénuries de matières premières devraient rapidement apparaître et entraîner de fortes tensions sur les prix.</w:t>
      </w:r>
    </w:p>
    <w:p w14:paraId="64E96D69" w14:textId="4DDCA906" w:rsidR="00C050F9" w:rsidRPr="00C050F9" w:rsidRDefault="00C050F9" w:rsidP="00FF2A43">
      <w:pPr>
        <w:spacing w:after="0" w:line="240" w:lineRule="auto"/>
        <w:ind w:left="708"/>
        <w:jc w:val="both"/>
        <w:rPr>
          <w:rFonts w:ascii="Times New Roman" w:eastAsia="Times New Roman" w:hAnsi="Times New Roman" w:cs="Times New Roman"/>
          <w:sz w:val="24"/>
          <w:szCs w:val="24"/>
          <w:lang w:eastAsia="fr-FR"/>
        </w:rPr>
      </w:pPr>
      <w:r w:rsidRPr="00C050F9">
        <w:rPr>
          <w:rFonts w:ascii="Times New Roman" w:eastAsia="Times New Roman" w:hAnsi="Times New Roman" w:cs="Times New Roman"/>
          <w:sz w:val="24"/>
          <w:szCs w:val="24"/>
          <w:lang w:eastAsia="fr-FR"/>
        </w:rPr>
        <w:t xml:space="preserve">Principal moteur de cette flambée, selon leur hypothèse : les </w:t>
      </w:r>
      <w:r w:rsidR="00145404">
        <w:rPr>
          <w:rFonts w:ascii="Times New Roman" w:eastAsia="Times New Roman" w:hAnsi="Times New Roman" w:cs="Times New Roman"/>
          <w:sz w:val="24"/>
          <w:szCs w:val="24"/>
          <w:lang w:eastAsia="fr-FR"/>
        </w:rPr>
        <w:t>sous investissements chroniques</w:t>
      </w:r>
      <w:r w:rsidR="002E5378">
        <w:rPr>
          <w:rFonts w:ascii="Times New Roman" w:eastAsia="Times New Roman" w:hAnsi="Times New Roman" w:cs="Times New Roman"/>
          <w:sz w:val="24"/>
          <w:szCs w:val="24"/>
          <w:lang w:eastAsia="fr-FR"/>
        </w:rPr>
        <w:t>,</w:t>
      </w:r>
      <w:hyperlink r:id="rId5" w:history="1"/>
      <w:r w:rsidRPr="00C050F9">
        <w:rPr>
          <w:rFonts w:ascii="Times New Roman" w:eastAsia="Times New Roman" w:hAnsi="Times New Roman" w:cs="Times New Roman"/>
          <w:sz w:val="24"/>
          <w:szCs w:val="24"/>
          <w:lang w:eastAsia="fr-FR"/>
        </w:rPr>
        <w:t xml:space="preserve"> ces dernières années, aussi bien dans le pétrole que dans les mines, alors même que l'environnement de marché est porteur. « Malgré des prix qui ont presque doublé pour de nombreuses matières premières en 2022, les investissements au sein du secteur ont été décevants. C'est l'enseignement le plus important de l'année 2022 », explique l'équipe de recherche. « Même des prix extraordinairement élevés n'ont pas permis de déclencher des investissements, et d'avoir une offre adéquate pour résoudre les problèmes de pénuries à long terme », insistent les analystes.</w:t>
      </w:r>
    </w:p>
    <w:p w14:paraId="3DA961F8" w14:textId="329B357F" w:rsidR="00C050F9" w:rsidRPr="00C050F9" w:rsidRDefault="00C050F9" w:rsidP="00FF2A43">
      <w:pPr>
        <w:spacing w:after="0" w:line="240" w:lineRule="auto"/>
        <w:ind w:left="708"/>
        <w:jc w:val="both"/>
        <w:rPr>
          <w:rFonts w:ascii="Times New Roman" w:eastAsia="Times New Roman" w:hAnsi="Times New Roman" w:cs="Times New Roman"/>
          <w:sz w:val="24"/>
          <w:szCs w:val="24"/>
          <w:lang w:eastAsia="fr-FR"/>
        </w:rPr>
      </w:pPr>
      <w:r w:rsidRPr="00C050F9">
        <w:rPr>
          <w:rFonts w:ascii="Times New Roman" w:eastAsia="Times New Roman" w:hAnsi="Times New Roman" w:cs="Times New Roman"/>
          <w:sz w:val="24"/>
          <w:szCs w:val="24"/>
          <w:lang w:eastAsia="fr-FR"/>
        </w:rPr>
        <w:t xml:space="preserve">En raison du contrechoc pétrolier en 2014 et des faibles niveaux de prix au début de la pandémie - le prix du brut américain est même passé </w:t>
      </w:r>
      <w:r w:rsidR="002E5378">
        <w:rPr>
          <w:rFonts w:ascii="Times New Roman" w:eastAsia="Times New Roman" w:hAnsi="Times New Roman" w:cs="Times New Roman"/>
          <w:sz w:val="24"/>
          <w:szCs w:val="24"/>
          <w:lang w:eastAsia="fr-FR"/>
        </w:rPr>
        <w:t xml:space="preserve">brièvement en territoire négatif en 2020 </w:t>
      </w:r>
      <w:r w:rsidRPr="00C050F9">
        <w:rPr>
          <w:rFonts w:ascii="Times New Roman" w:eastAsia="Times New Roman" w:hAnsi="Times New Roman" w:cs="Times New Roman"/>
          <w:sz w:val="24"/>
          <w:szCs w:val="24"/>
          <w:lang w:eastAsia="fr-FR"/>
        </w:rPr>
        <w:t>- les compagnies pétrolières ont réduit la voilure dans l'exploration pour trouver et exploiter de nouveaux gisements. La tendance est comparable dans le secteur minier, alors même que la transition énergétique va entraîner une consommation astronomique de métaux. Dans ces conditions, l'offre aura bien du mal à suivre la hausse de la demande, car il s'écoule de nombreuses années entre un investissement et les premiers volumes de production, entre 10 et 15 ans par exemple pour une mine de métaux.</w:t>
      </w:r>
    </w:p>
    <w:p w14:paraId="3D0EF204" w14:textId="41CD85B5" w:rsidR="00C050F9" w:rsidRPr="00C050F9" w:rsidRDefault="00C050F9" w:rsidP="00FF2A43">
      <w:pPr>
        <w:spacing w:after="0" w:line="240" w:lineRule="auto"/>
        <w:ind w:left="708"/>
        <w:jc w:val="both"/>
        <w:rPr>
          <w:rFonts w:ascii="Times New Roman" w:eastAsia="Times New Roman" w:hAnsi="Times New Roman" w:cs="Times New Roman"/>
          <w:sz w:val="24"/>
          <w:szCs w:val="24"/>
          <w:lang w:eastAsia="fr-FR"/>
        </w:rPr>
      </w:pPr>
      <w:r w:rsidRPr="00C050F9">
        <w:rPr>
          <w:rFonts w:ascii="Times New Roman" w:eastAsia="Times New Roman" w:hAnsi="Times New Roman" w:cs="Times New Roman"/>
          <w:sz w:val="24"/>
          <w:szCs w:val="24"/>
          <w:lang w:eastAsia="fr-FR"/>
        </w:rPr>
        <w:t xml:space="preserve">Le baril de </w:t>
      </w:r>
      <w:proofErr w:type="spellStart"/>
      <w:r w:rsidRPr="00C050F9">
        <w:rPr>
          <w:rFonts w:ascii="Times New Roman" w:eastAsia="Times New Roman" w:hAnsi="Times New Roman" w:cs="Times New Roman"/>
          <w:sz w:val="24"/>
          <w:szCs w:val="24"/>
          <w:lang w:eastAsia="fr-FR"/>
        </w:rPr>
        <w:t>brent</w:t>
      </w:r>
      <w:proofErr w:type="spellEnd"/>
      <w:r w:rsidRPr="00C050F9">
        <w:rPr>
          <w:rFonts w:ascii="Times New Roman" w:eastAsia="Times New Roman" w:hAnsi="Times New Roman" w:cs="Times New Roman"/>
          <w:sz w:val="24"/>
          <w:szCs w:val="24"/>
          <w:lang w:eastAsia="fr-FR"/>
        </w:rPr>
        <w:t xml:space="preserve"> devrait passer de 80 dollars à 105 dollars d'ici à la fin 2023. La tonne de cuivre, métal phare de la transition énergétique, devrait coter </w:t>
      </w:r>
      <w:r w:rsidR="000D73CB">
        <w:rPr>
          <w:rFonts w:ascii="Times New Roman" w:eastAsia="Times New Roman" w:hAnsi="Times New Roman" w:cs="Times New Roman"/>
          <w:sz w:val="24"/>
          <w:szCs w:val="24"/>
          <w:lang w:eastAsia="fr-FR"/>
        </w:rPr>
        <w:t xml:space="preserve">à 10.050 dollars </w:t>
      </w:r>
      <w:r w:rsidRPr="00C050F9">
        <w:rPr>
          <w:rFonts w:ascii="Times New Roman" w:eastAsia="Times New Roman" w:hAnsi="Times New Roman" w:cs="Times New Roman"/>
          <w:sz w:val="24"/>
          <w:szCs w:val="24"/>
          <w:lang w:eastAsia="fr-FR"/>
        </w:rPr>
        <w:t xml:space="preserve">contre environ 8.400 dollars aujourd'hui. Le gaz naturel liquéfié sur le marché asiatique devrait passer de 33 dollars le </w:t>
      </w:r>
      <w:proofErr w:type="spellStart"/>
      <w:r w:rsidRPr="00C050F9">
        <w:rPr>
          <w:rFonts w:ascii="Times New Roman" w:eastAsia="Times New Roman" w:hAnsi="Times New Roman" w:cs="Times New Roman"/>
          <w:sz w:val="24"/>
          <w:szCs w:val="24"/>
          <w:lang w:eastAsia="fr-FR"/>
        </w:rPr>
        <w:t>MBtu</w:t>
      </w:r>
      <w:proofErr w:type="spellEnd"/>
      <w:r w:rsidRPr="00C050F9">
        <w:rPr>
          <w:rFonts w:ascii="Times New Roman" w:eastAsia="Times New Roman" w:hAnsi="Times New Roman" w:cs="Times New Roman"/>
          <w:sz w:val="24"/>
          <w:szCs w:val="24"/>
          <w:lang w:eastAsia="fr-FR"/>
        </w:rPr>
        <w:t xml:space="preserve"> (million de British thermal </w:t>
      </w:r>
      <w:proofErr w:type="spellStart"/>
      <w:r w:rsidRPr="00C050F9">
        <w:rPr>
          <w:rFonts w:ascii="Times New Roman" w:eastAsia="Times New Roman" w:hAnsi="Times New Roman" w:cs="Times New Roman"/>
          <w:sz w:val="24"/>
          <w:szCs w:val="24"/>
          <w:lang w:eastAsia="fr-FR"/>
        </w:rPr>
        <w:t>units</w:t>
      </w:r>
      <w:proofErr w:type="spellEnd"/>
      <w:r w:rsidRPr="00C050F9">
        <w:rPr>
          <w:rFonts w:ascii="Times New Roman" w:eastAsia="Times New Roman" w:hAnsi="Times New Roman" w:cs="Times New Roman"/>
          <w:sz w:val="24"/>
          <w:szCs w:val="24"/>
          <w:lang w:eastAsia="fr-FR"/>
        </w:rPr>
        <w:t xml:space="preserve">) à 53,10 dollars le </w:t>
      </w:r>
      <w:proofErr w:type="spellStart"/>
      <w:r w:rsidRPr="00C050F9">
        <w:rPr>
          <w:rFonts w:ascii="Times New Roman" w:eastAsia="Times New Roman" w:hAnsi="Times New Roman" w:cs="Times New Roman"/>
          <w:sz w:val="24"/>
          <w:szCs w:val="24"/>
          <w:lang w:eastAsia="fr-FR"/>
        </w:rPr>
        <w:t>MBtu</w:t>
      </w:r>
      <w:proofErr w:type="spellEnd"/>
      <w:r w:rsidRPr="00C050F9">
        <w:rPr>
          <w:rFonts w:ascii="Times New Roman" w:eastAsia="Times New Roman" w:hAnsi="Times New Roman" w:cs="Times New Roman"/>
          <w:sz w:val="24"/>
          <w:szCs w:val="24"/>
          <w:lang w:eastAsia="fr-FR"/>
        </w:rPr>
        <w:t>.</w:t>
      </w:r>
    </w:p>
    <w:p w14:paraId="1CC4868B" w14:textId="12371A10" w:rsidR="00C050F9" w:rsidRPr="00C050F9" w:rsidRDefault="00C050F9" w:rsidP="00FF2A43">
      <w:pPr>
        <w:spacing w:after="0" w:line="240" w:lineRule="auto"/>
        <w:ind w:left="708"/>
        <w:jc w:val="both"/>
        <w:rPr>
          <w:rFonts w:ascii="Times New Roman" w:eastAsia="Times New Roman" w:hAnsi="Times New Roman" w:cs="Times New Roman"/>
          <w:sz w:val="24"/>
          <w:szCs w:val="24"/>
          <w:lang w:eastAsia="fr-FR"/>
        </w:rPr>
      </w:pPr>
      <w:r w:rsidRPr="00C050F9">
        <w:rPr>
          <w:rFonts w:ascii="Times New Roman" w:eastAsia="Times New Roman" w:hAnsi="Times New Roman" w:cs="Times New Roman"/>
          <w:sz w:val="24"/>
          <w:szCs w:val="24"/>
          <w:lang w:eastAsia="fr-FR"/>
        </w:rPr>
        <w:t xml:space="preserve">D'autres analystes se montrent plus prudents, du moins à court terme. Ed Morse de la banque Citi estime que l'économie mondiale est encore trop fragile. « Le vent pourrait tourner, met-il en garde. La possibilité d'une récession mondiale menace cette classe d'actifs qui a connu une incroyable renaissance ces deux dernières années ». </w:t>
      </w:r>
      <w:r w:rsidR="000D73CB">
        <w:rPr>
          <w:rFonts w:ascii="Times New Roman" w:eastAsia="Times New Roman" w:hAnsi="Times New Roman" w:cs="Times New Roman"/>
          <w:sz w:val="24"/>
          <w:szCs w:val="24"/>
          <w:lang w:eastAsia="fr-FR"/>
        </w:rPr>
        <w:t xml:space="preserve">La flambée des cas de Covid en Chine </w:t>
      </w:r>
      <w:r w:rsidRPr="00C050F9">
        <w:rPr>
          <w:rFonts w:ascii="Times New Roman" w:eastAsia="Times New Roman" w:hAnsi="Times New Roman" w:cs="Times New Roman"/>
          <w:sz w:val="24"/>
          <w:szCs w:val="24"/>
          <w:lang w:eastAsia="fr-FR"/>
        </w:rPr>
        <w:t xml:space="preserve">après l'assouplissement de politique « zéro Covid » ainsi qu'une contraction de l'économie en début d'année pourraient entraîner </w:t>
      </w:r>
      <w:r w:rsidR="000D73CB">
        <w:rPr>
          <w:rFonts w:ascii="Times New Roman" w:eastAsia="Times New Roman" w:hAnsi="Times New Roman" w:cs="Times New Roman"/>
          <w:sz w:val="24"/>
          <w:szCs w:val="24"/>
          <w:lang w:eastAsia="fr-FR"/>
        </w:rPr>
        <w:t xml:space="preserve">une chute de la demande et des prix. </w:t>
      </w:r>
    </w:p>
    <w:p w14:paraId="3A6A451C" w14:textId="457280D1" w:rsidR="00C050F9" w:rsidRPr="00C050F9" w:rsidRDefault="00C050F9" w:rsidP="00FF2A43">
      <w:pPr>
        <w:spacing w:after="0" w:line="240" w:lineRule="auto"/>
        <w:ind w:left="708"/>
        <w:jc w:val="both"/>
        <w:rPr>
          <w:rFonts w:ascii="Times New Roman" w:eastAsia="Times New Roman" w:hAnsi="Times New Roman" w:cs="Times New Roman"/>
          <w:sz w:val="24"/>
          <w:szCs w:val="24"/>
          <w:lang w:eastAsia="fr-FR"/>
        </w:rPr>
      </w:pPr>
      <w:r w:rsidRPr="00C050F9">
        <w:rPr>
          <w:rFonts w:ascii="Times New Roman" w:eastAsia="Times New Roman" w:hAnsi="Times New Roman" w:cs="Times New Roman"/>
          <w:sz w:val="24"/>
          <w:szCs w:val="24"/>
          <w:lang w:eastAsia="fr-FR"/>
        </w:rPr>
        <w:t xml:space="preserve">A plus long terme, les observateurs de marché s'attendent à une hausse des cours des matières premières. Au sortir du premier confinement, les économistes de Goldman Sachs annonçaient </w:t>
      </w:r>
      <w:r w:rsidR="000D73CB">
        <w:rPr>
          <w:rFonts w:ascii="Times New Roman" w:eastAsia="Times New Roman" w:hAnsi="Times New Roman" w:cs="Times New Roman"/>
          <w:sz w:val="24"/>
          <w:szCs w:val="24"/>
          <w:lang w:eastAsia="fr-FR"/>
        </w:rPr>
        <w:t>un « </w:t>
      </w:r>
      <w:proofErr w:type="spellStart"/>
      <w:r w:rsidR="000D73CB">
        <w:rPr>
          <w:rFonts w:ascii="Times New Roman" w:eastAsia="Times New Roman" w:hAnsi="Times New Roman" w:cs="Times New Roman"/>
          <w:sz w:val="24"/>
          <w:szCs w:val="24"/>
          <w:lang w:eastAsia="fr-FR"/>
        </w:rPr>
        <w:t>supercycle</w:t>
      </w:r>
      <w:proofErr w:type="spellEnd"/>
      <w:r w:rsidR="000D73CB">
        <w:rPr>
          <w:rFonts w:ascii="Times New Roman" w:eastAsia="Times New Roman" w:hAnsi="Times New Roman" w:cs="Times New Roman"/>
          <w:sz w:val="24"/>
          <w:szCs w:val="24"/>
          <w:lang w:eastAsia="fr-FR"/>
        </w:rPr>
        <w:t> » à venir</w:t>
      </w:r>
      <w:r w:rsidR="009E1443">
        <w:rPr>
          <w:rFonts w:ascii="Times New Roman" w:eastAsia="Times New Roman" w:hAnsi="Times New Roman" w:cs="Times New Roman"/>
          <w:sz w:val="24"/>
          <w:szCs w:val="24"/>
          <w:lang w:eastAsia="fr-FR"/>
        </w:rPr>
        <w:t xml:space="preserve">, </w:t>
      </w:r>
      <w:r w:rsidRPr="00C050F9">
        <w:rPr>
          <w:rFonts w:ascii="Times New Roman" w:eastAsia="Times New Roman" w:hAnsi="Times New Roman" w:cs="Times New Roman"/>
          <w:sz w:val="24"/>
          <w:szCs w:val="24"/>
          <w:lang w:eastAsia="fr-FR"/>
        </w:rPr>
        <w:t>c'est-à-dire une hausse généralisée des cours des ressources sur une dizaine d'années. Ils estimaient que les différentes politiques de soutien de la consommation et autres plans de relance, faisant la part belle aux infrastructures sur fond de transition verte, allaient doper la demande de matières premières.</w:t>
      </w:r>
    </w:p>
    <w:p w14:paraId="0A915A96" w14:textId="77777777" w:rsidR="00C050F9" w:rsidRDefault="00C050F9" w:rsidP="00390B38">
      <w:pPr>
        <w:rPr>
          <w:rFonts w:ascii="Times New Roman" w:hAnsi="Times New Roman" w:cs="Times New Roman"/>
          <w:b/>
          <w:bCs/>
          <w:sz w:val="28"/>
          <w:szCs w:val="28"/>
        </w:rPr>
      </w:pPr>
    </w:p>
    <w:p w14:paraId="7B8B143C" w14:textId="620B59D1"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2</w:t>
      </w:r>
      <w:r w:rsidR="00E5568B">
        <w:rPr>
          <w:rFonts w:ascii="Times New Roman" w:hAnsi="Times New Roman" w:cs="Times New Roman"/>
          <w:b/>
          <w:bCs/>
          <w:sz w:val="28"/>
          <w:szCs w:val="28"/>
        </w:rPr>
        <w:t>1</w:t>
      </w:r>
      <w:r>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03D1324E" w14:textId="77777777" w:rsidR="00E908B9" w:rsidRPr="00FF2A43" w:rsidRDefault="00E908B9" w:rsidP="00FF2A43">
      <w:pPr>
        <w:pStyle w:val="NormalWeb"/>
        <w:spacing w:before="0" w:beforeAutospacing="0" w:after="0" w:afterAutospacing="0"/>
        <w:ind w:firstLine="708"/>
        <w:rPr>
          <w:b/>
          <w:bCs/>
        </w:rPr>
      </w:pPr>
      <w:r w:rsidRPr="00FF2A43">
        <w:rPr>
          <w:b/>
          <w:bCs/>
        </w:rPr>
        <w:t>8h00 en Allemagne</w:t>
      </w:r>
    </w:p>
    <w:p w14:paraId="0B8396CE" w14:textId="77777777" w:rsidR="00E908B9" w:rsidRDefault="00E908B9" w:rsidP="00FF2A43">
      <w:pPr>
        <w:pStyle w:val="NormalWeb"/>
        <w:spacing w:before="0" w:beforeAutospacing="0" w:after="0" w:afterAutospacing="0"/>
        <w:ind w:firstLine="708"/>
      </w:pPr>
      <w:r>
        <w:t xml:space="preserve">Indice </w:t>
      </w:r>
      <w:proofErr w:type="spellStart"/>
      <w:r>
        <w:t>gfk</w:t>
      </w:r>
      <w:proofErr w:type="spellEnd"/>
      <w:r>
        <w:t xml:space="preserve"> de la confiance des consommateurs</w:t>
      </w:r>
    </w:p>
    <w:p w14:paraId="7C27E2D1" w14:textId="77777777" w:rsidR="00FF2A43" w:rsidRDefault="00FF2A43" w:rsidP="00FF2A43">
      <w:pPr>
        <w:pStyle w:val="NormalWeb"/>
        <w:spacing w:before="0" w:beforeAutospacing="0" w:after="0" w:afterAutospacing="0"/>
        <w:ind w:firstLine="708"/>
      </w:pPr>
    </w:p>
    <w:p w14:paraId="523D26B7" w14:textId="77777777" w:rsidR="00E908B9" w:rsidRPr="00FF2A43" w:rsidRDefault="00E908B9" w:rsidP="00FF2A43">
      <w:pPr>
        <w:pStyle w:val="NormalWeb"/>
        <w:spacing w:before="0" w:beforeAutospacing="0" w:after="0" w:afterAutospacing="0"/>
        <w:ind w:firstLine="708"/>
        <w:rPr>
          <w:b/>
          <w:bCs/>
        </w:rPr>
      </w:pPr>
      <w:r w:rsidRPr="00FF2A43">
        <w:rPr>
          <w:b/>
          <w:bCs/>
        </w:rPr>
        <w:t>16h00 aux Etats-Unis</w:t>
      </w:r>
    </w:p>
    <w:p w14:paraId="0F031812" w14:textId="77777777" w:rsidR="00E908B9" w:rsidRDefault="00E908B9" w:rsidP="00FF2A43">
      <w:pPr>
        <w:pStyle w:val="NormalWeb"/>
        <w:spacing w:before="0" w:beforeAutospacing="0" w:after="0" w:afterAutospacing="0"/>
        <w:ind w:firstLine="708"/>
      </w:pPr>
      <w:r>
        <w:t xml:space="preserve">Confiance des consommateurs de </w:t>
      </w:r>
      <w:proofErr w:type="spellStart"/>
      <w:r>
        <w:t>Conference</w:t>
      </w:r>
      <w:proofErr w:type="spellEnd"/>
      <w:r>
        <w:t xml:space="preserve"> </w:t>
      </w:r>
      <w:proofErr w:type="spellStart"/>
      <w:r>
        <w:t>Board</w:t>
      </w:r>
      <w:proofErr w:type="spellEnd"/>
      <w:r>
        <w:t xml:space="preserve"> en décembre</w:t>
      </w:r>
    </w:p>
    <w:p w14:paraId="04BF1900" w14:textId="77777777" w:rsidR="00E908B9" w:rsidRDefault="00E908B9" w:rsidP="00FF2A43">
      <w:pPr>
        <w:pStyle w:val="NormalWeb"/>
        <w:spacing w:before="0" w:beforeAutospacing="0" w:after="0" w:afterAutospacing="0"/>
        <w:ind w:firstLine="708"/>
      </w:pPr>
      <w:r>
        <w:t>Ventes de logements anciens</w:t>
      </w:r>
    </w:p>
    <w:p w14:paraId="178256C2" w14:textId="77777777" w:rsidR="00FF2A43" w:rsidRDefault="00FF2A43" w:rsidP="00FF2A43">
      <w:pPr>
        <w:pStyle w:val="NormalWeb"/>
        <w:spacing w:before="0" w:beforeAutospacing="0" w:after="0" w:afterAutospacing="0"/>
        <w:ind w:firstLine="708"/>
      </w:pPr>
    </w:p>
    <w:p w14:paraId="322EB9CA" w14:textId="77777777" w:rsidR="00E908B9" w:rsidRPr="00FF2A43" w:rsidRDefault="00E908B9" w:rsidP="00FF2A43">
      <w:pPr>
        <w:pStyle w:val="NormalWeb"/>
        <w:spacing w:before="0" w:beforeAutospacing="0" w:after="0" w:afterAutospacing="0"/>
        <w:ind w:firstLine="708"/>
        <w:rPr>
          <w:b/>
          <w:bCs/>
        </w:rPr>
      </w:pPr>
      <w:r w:rsidRPr="00FF2A43">
        <w:rPr>
          <w:b/>
          <w:bCs/>
        </w:rPr>
        <w:t>16h30 aux Etats-Unis</w:t>
      </w:r>
    </w:p>
    <w:p w14:paraId="459A5B57" w14:textId="77777777" w:rsidR="00E908B9" w:rsidRDefault="00E908B9" w:rsidP="00FF2A43">
      <w:pPr>
        <w:pStyle w:val="NormalWeb"/>
        <w:spacing w:before="0" w:beforeAutospacing="0" w:after="0" w:afterAutospacing="0"/>
        <w:ind w:firstLine="708"/>
      </w:pPr>
      <w:r>
        <w:t>Evolution hebdomadaire des stocks de produits pétroliers</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DBA"/>
    <w:multiLevelType w:val="hybridMultilevel"/>
    <w:tmpl w:val="CE2270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9471646"/>
    <w:multiLevelType w:val="hybridMultilevel"/>
    <w:tmpl w:val="34805C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A264C8"/>
    <w:multiLevelType w:val="hybridMultilevel"/>
    <w:tmpl w:val="2B5E2F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2"/>
  </w:num>
  <w:num w:numId="3" w16cid:durableId="1866677634">
    <w:abstractNumId w:val="4"/>
  </w:num>
  <w:num w:numId="4" w16cid:durableId="376704026">
    <w:abstractNumId w:val="5"/>
  </w:num>
  <w:num w:numId="5" w16cid:durableId="1616330184">
    <w:abstractNumId w:val="6"/>
  </w:num>
  <w:num w:numId="6" w16cid:durableId="2060547603">
    <w:abstractNumId w:val="0"/>
  </w:num>
  <w:num w:numId="7" w16cid:durableId="277567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17B10"/>
    <w:rsid w:val="000A5CEB"/>
    <w:rsid w:val="000D73CB"/>
    <w:rsid w:val="000E0B5F"/>
    <w:rsid w:val="0012252A"/>
    <w:rsid w:val="0012746E"/>
    <w:rsid w:val="00145404"/>
    <w:rsid w:val="00163758"/>
    <w:rsid w:val="0024133A"/>
    <w:rsid w:val="0025586D"/>
    <w:rsid w:val="002709F8"/>
    <w:rsid w:val="002C51B2"/>
    <w:rsid w:val="002D2AAE"/>
    <w:rsid w:val="002E5378"/>
    <w:rsid w:val="00336445"/>
    <w:rsid w:val="0034260D"/>
    <w:rsid w:val="00367EDC"/>
    <w:rsid w:val="00390B38"/>
    <w:rsid w:val="003A5536"/>
    <w:rsid w:val="003B2CDE"/>
    <w:rsid w:val="003B3201"/>
    <w:rsid w:val="00410146"/>
    <w:rsid w:val="00415AF1"/>
    <w:rsid w:val="00426AE3"/>
    <w:rsid w:val="00433D9C"/>
    <w:rsid w:val="00473B7E"/>
    <w:rsid w:val="004A5D58"/>
    <w:rsid w:val="004D0447"/>
    <w:rsid w:val="004E6C29"/>
    <w:rsid w:val="00605D86"/>
    <w:rsid w:val="00680B3E"/>
    <w:rsid w:val="00686A7E"/>
    <w:rsid w:val="006B1046"/>
    <w:rsid w:val="00702D18"/>
    <w:rsid w:val="0079691A"/>
    <w:rsid w:val="007C71B7"/>
    <w:rsid w:val="0080346A"/>
    <w:rsid w:val="00892420"/>
    <w:rsid w:val="008A2D3D"/>
    <w:rsid w:val="008B142C"/>
    <w:rsid w:val="00920E56"/>
    <w:rsid w:val="00931514"/>
    <w:rsid w:val="00933594"/>
    <w:rsid w:val="0097386B"/>
    <w:rsid w:val="00995C2A"/>
    <w:rsid w:val="009B4AD0"/>
    <w:rsid w:val="009D09DF"/>
    <w:rsid w:val="009E1443"/>
    <w:rsid w:val="00A50FFC"/>
    <w:rsid w:val="00A7423B"/>
    <w:rsid w:val="00A8646C"/>
    <w:rsid w:val="00AE24D8"/>
    <w:rsid w:val="00AF75B8"/>
    <w:rsid w:val="00B47AC3"/>
    <w:rsid w:val="00BF1707"/>
    <w:rsid w:val="00C050F9"/>
    <w:rsid w:val="00C23A24"/>
    <w:rsid w:val="00D15939"/>
    <w:rsid w:val="00DD1FCE"/>
    <w:rsid w:val="00DD5DAA"/>
    <w:rsid w:val="00E5568B"/>
    <w:rsid w:val="00E908B9"/>
    <w:rsid w:val="00F76296"/>
    <w:rsid w:val="00F8793F"/>
    <w:rsid w:val="00FA36AC"/>
    <w:rsid w:val="00FB770C"/>
    <w:rsid w:val="00FF2A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15596220">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5603626">
      <w:bodyDiv w:val="1"/>
      <w:marLeft w:val="0"/>
      <w:marRight w:val="0"/>
      <w:marTop w:val="0"/>
      <w:marBottom w:val="0"/>
      <w:divBdr>
        <w:top w:val="none" w:sz="0" w:space="0" w:color="auto"/>
        <w:left w:val="none" w:sz="0" w:space="0" w:color="auto"/>
        <w:bottom w:val="none" w:sz="0" w:space="0" w:color="auto"/>
        <w:right w:val="none" w:sz="0" w:space="0" w:color="auto"/>
      </w:divBdr>
      <w:divsChild>
        <w:div w:id="1186291739">
          <w:marLeft w:val="0"/>
          <w:marRight w:val="0"/>
          <w:marTop w:val="0"/>
          <w:marBottom w:val="0"/>
          <w:divBdr>
            <w:top w:val="none" w:sz="0" w:space="0" w:color="auto"/>
            <w:left w:val="none" w:sz="0" w:space="0" w:color="auto"/>
            <w:bottom w:val="none" w:sz="0" w:space="0" w:color="auto"/>
            <w:right w:val="none" w:sz="0" w:space="0" w:color="auto"/>
          </w:divBdr>
        </w:div>
        <w:div w:id="364789689">
          <w:marLeft w:val="0"/>
          <w:marRight w:val="0"/>
          <w:marTop w:val="0"/>
          <w:marBottom w:val="0"/>
          <w:divBdr>
            <w:top w:val="none" w:sz="0" w:space="0" w:color="auto"/>
            <w:left w:val="none" w:sz="0" w:space="0" w:color="auto"/>
            <w:bottom w:val="none" w:sz="0" w:space="0" w:color="auto"/>
            <w:right w:val="none" w:sz="0" w:space="0" w:color="auto"/>
          </w:divBdr>
        </w:div>
      </w:divsChild>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39446295">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94333551">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736511892">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1393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industrie-services/energie-environnement/petrole-et-gaz-les-investissements-restent-au-plus-bas-137877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1445</Words>
  <Characters>7949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20</cp:revision>
  <dcterms:created xsi:type="dcterms:W3CDTF">2022-12-20T22:14:00Z</dcterms:created>
  <dcterms:modified xsi:type="dcterms:W3CDTF">2022-12-20T22:41:00Z</dcterms:modified>
</cp:coreProperties>
</file>