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19CB7AAC"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596491">
        <w:rPr>
          <w:rFonts w:ascii="Times New Roman" w:hAnsi="Times New Roman" w:cs="Times New Roman"/>
          <w:b/>
          <w:bCs/>
          <w:sz w:val="28"/>
          <w:szCs w:val="28"/>
        </w:rPr>
        <w:t>5</w:t>
      </w:r>
      <w:r w:rsidR="002D2AAE" w:rsidRPr="00390B38">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sidR="002D2AAE" w:rsidRPr="00390B38">
        <w:rPr>
          <w:rFonts w:ascii="Times New Roman" w:hAnsi="Times New Roman" w:cs="Times New Roman"/>
          <w:b/>
          <w:bCs/>
          <w:sz w:val="28"/>
          <w:szCs w:val="28"/>
        </w:rPr>
        <w:t xml:space="preserve"> 2022</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8B43BF2" w14:textId="77777777" w:rsidR="00774A5F" w:rsidRDefault="00774A5F" w:rsidP="000758A5">
      <w:pPr>
        <w:pStyle w:val="NormalWeb"/>
        <w:numPr>
          <w:ilvl w:val="0"/>
          <w:numId w:val="5"/>
        </w:numPr>
        <w:jc w:val="both"/>
      </w:pPr>
      <w:r>
        <w:t>Les marchés actions européens ont terminé en baisse cette première séance de la semaine. L'indice CAC 40 a perdu 0,67% à 6 696,96 points tandis que l'EuroStoxx50 a pour sa part cédé 0,54 % à 3 956,63 points. La tendance était similaire du côté de Wall Street avec un Dow Jones en repli de 0,86% à 34 134,15 points vers 17h30.</w:t>
      </w:r>
    </w:p>
    <w:p w14:paraId="456C9538" w14:textId="77777777" w:rsidR="00774A5F" w:rsidRDefault="00774A5F" w:rsidP="000758A5">
      <w:pPr>
        <w:pStyle w:val="NormalWeb"/>
        <w:numPr>
          <w:ilvl w:val="0"/>
          <w:numId w:val="5"/>
        </w:numPr>
        <w:jc w:val="both"/>
      </w:pPr>
      <w:r>
        <w:t>Les marchés ont peu bénéficié des anticipations de la poursuite du desserrement des restrictions liées au Covid en Chine.</w:t>
      </w:r>
    </w:p>
    <w:p w14:paraId="71A56B2B" w14:textId="77777777" w:rsidR="00774A5F" w:rsidRDefault="00774A5F" w:rsidP="000758A5">
      <w:pPr>
        <w:pStyle w:val="NormalWeb"/>
        <w:numPr>
          <w:ilvl w:val="0"/>
          <w:numId w:val="5"/>
        </w:numPr>
        <w:jc w:val="both"/>
      </w:pPr>
      <w:r>
        <w:t>En Europe, plusieurs indicateurs ont confirmé la mauvaise santé de l'économie. Affichant une cinquième baisse mensuelle consécutive de l'activité en novembre, les indices des directeurs d'achat Composite de S&amp;P Global traduisent la très forte probabilité d'une entrée en récession de la zone euro. Celle-ci s'annonce cependant " modeste ".</w:t>
      </w:r>
    </w:p>
    <w:p w14:paraId="720D4B0D" w14:textId="77777777" w:rsidR="00774A5F" w:rsidRDefault="00774A5F" w:rsidP="000758A5">
      <w:pPr>
        <w:pStyle w:val="NormalWeb"/>
        <w:numPr>
          <w:ilvl w:val="0"/>
          <w:numId w:val="5"/>
        </w:numPr>
        <w:jc w:val="both"/>
      </w:pPr>
      <w:r>
        <w:t>Cependant plusieurs statistiques américaines ont au contraire livré de bonnes nouvelles : les commandes à l'industrie aux États-Unis ont augmenté de 1% en novembre 2022, sur un mois, alors que le consensus investing.com visait une progression de 0,7%, et l'indice PMI services de l'ISM aux États-Unis s'établit à 56,5 en novembre contre un consensus de 53,3 et 54,4 en octobre.</w:t>
      </w:r>
    </w:p>
    <w:p w14:paraId="03052A70" w14:textId="09374DA7" w:rsidR="00774A5F" w:rsidRDefault="00774A5F" w:rsidP="000758A5">
      <w:pPr>
        <w:pStyle w:val="NormalWeb"/>
        <w:numPr>
          <w:ilvl w:val="0"/>
          <w:numId w:val="5"/>
        </w:numPr>
        <w:spacing w:before="0" w:beforeAutospacing="0" w:after="0" w:afterAutospacing="0"/>
        <w:jc w:val="both"/>
      </w:pPr>
      <w:r>
        <w:t>Dans le sillage de ces statistiques, les taux longs américains ont gagné plus de 8 points de base 3,57% et on</w:t>
      </w:r>
      <w:r>
        <w:t>t</w:t>
      </w:r>
      <w:r>
        <w:t xml:space="preserve"> pesé sur les marchés actions européens.</w:t>
      </w:r>
    </w:p>
    <w:p w14:paraId="5259DDEC" w14:textId="77777777" w:rsidR="001E48A9" w:rsidRDefault="001E48A9" w:rsidP="000758A5">
      <w:pPr>
        <w:pStyle w:val="NormalWeb"/>
        <w:spacing w:before="0" w:beforeAutospacing="0" w:after="0" w:afterAutospacing="0"/>
        <w:ind w:left="720"/>
        <w:jc w:val="both"/>
      </w:pPr>
    </w:p>
    <w:p w14:paraId="00E44895" w14:textId="77777777" w:rsidR="00F877EB" w:rsidRDefault="00F877EB" w:rsidP="000758A5">
      <w:pPr>
        <w:pStyle w:val="NormalWeb"/>
        <w:numPr>
          <w:ilvl w:val="0"/>
          <w:numId w:val="5"/>
        </w:numPr>
        <w:spacing w:before="0" w:beforeAutospacing="0" w:after="0" w:afterAutospacing="0"/>
        <w:jc w:val="both"/>
      </w:pPr>
      <w:r>
        <w:t xml:space="preserve">« La seule devise du G10 qui a enregistré une performance encore plus mauvaise que le dollar américain récemment est le dollar canadien », fait remarquer MUFG. Aujourd’hui, le </w:t>
      </w:r>
      <w:proofErr w:type="spellStart"/>
      <w:r>
        <w:t>loonie</w:t>
      </w:r>
      <w:proofErr w:type="spellEnd"/>
      <w:r>
        <w:t xml:space="preserve"> perd 0,37% à 0,7398 dollar. La Banque du Canada fera connaître mercredi sa décision de politique monétaire. Elle a déjà commencé à réduire son rythme de hausse de ses taux directeurs, les rehaussant de 75 points de base en septembre puis de 50 points de base en octobre. Une courte majorité anticipe une hausse de 25 points de base cette semaine. </w:t>
      </w:r>
    </w:p>
    <w:p w14:paraId="50C11B86" w14:textId="77777777" w:rsidR="00F877EB" w:rsidRDefault="00F877EB" w:rsidP="000758A5">
      <w:pPr>
        <w:pStyle w:val="NormalWeb"/>
        <w:spacing w:before="0" w:beforeAutospacing="0" w:after="0" w:afterAutospacing="0"/>
        <w:ind w:left="720"/>
        <w:jc w:val="both"/>
      </w:pPr>
      <w:r>
        <w:t xml:space="preserve">17 des 33 spécialistes interrogés par Bloomberg anticipent un tel scénario et le reste, un resserrement de 50 points de base. </w:t>
      </w:r>
    </w:p>
    <w:p w14:paraId="1B49C1A5" w14:textId="77777777" w:rsidR="00F877EB" w:rsidRDefault="00F877EB" w:rsidP="000758A5">
      <w:pPr>
        <w:pStyle w:val="NormalWeb"/>
        <w:spacing w:before="0" w:beforeAutospacing="0" w:after="0" w:afterAutospacing="0"/>
        <w:ind w:left="720"/>
        <w:jc w:val="both"/>
      </w:pPr>
      <w:r>
        <w:t>" Nous ne nous attendons pas à ce que la Banque du Canada signale une pause dans sa hausse des taux dès cette semaine, mais la fin approche rapidement, ce qui pose des risques de baisse pour le dollar canadien ", prévient MUFG.</w:t>
      </w:r>
    </w:p>
    <w:p w14:paraId="3DA25278" w14:textId="77777777" w:rsidR="00774A5F" w:rsidRDefault="00774A5F" w:rsidP="000758A5">
      <w:pPr>
        <w:pStyle w:val="NormalWeb"/>
        <w:spacing w:before="0" w:beforeAutospacing="0" w:after="0" w:afterAutospacing="0"/>
        <w:jc w:val="both"/>
      </w:pPr>
    </w:p>
    <w:p w14:paraId="52DAB4E0" w14:textId="77777777" w:rsidR="00D56A3A" w:rsidRDefault="00D56A3A" w:rsidP="000758A5">
      <w:pPr>
        <w:pStyle w:val="NormalWeb"/>
        <w:numPr>
          <w:ilvl w:val="0"/>
          <w:numId w:val="5"/>
        </w:numPr>
        <w:spacing w:before="0" w:beforeAutospacing="0" w:after="0" w:afterAutospacing="0"/>
        <w:jc w:val="both"/>
      </w:pPr>
      <w:r>
        <w:t xml:space="preserve">Les cours du pétrole sont bien orientés alors que </w:t>
      </w:r>
      <w:proofErr w:type="spellStart"/>
      <w:r>
        <w:t>l’Opep</w:t>
      </w:r>
      <w:proofErr w:type="spellEnd"/>
      <w:r>
        <w:t>+ a maintenu ses objectifs de production et que l’Union européenne s’est accordée vendredi sur un plafonnement du prix du pétrole brut russe transporté par voie maritime. Le cours du baril de WTI gagne 2,75% à 82,18 dollars. Le plafond a été fixé à un prix maximal de 60 dollars par baril pour le pétrole brut et pourra être modifié ultérieurement en fonction de l'évolution du marché.</w:t>
      </w:r>
    </w:p>
    <w:p w14:paraId="2B59D120" w14:textId="638722A7" w:rsidR="00D56A3A" w:rsidRDefault="00D56A3A" w:rsidP="000758A5">
      <w:pPr>
        <w:pStyle w:val="NormalWeb"/>
        <w:spacing w:before="0" w:beforeAutospacing="0" w:after="0" w:afterAutospacing="0"/>
        <w:ind w:left="708"/>
        <w:jc w:val="both"/>
      </w:pPr>
      <w:r>
        <w:t xml:space="preserve">Le plafonnement des prix est entré en vigueur à partir d'aujourd'hui pour le pétrole brut et il sera mis en </w:t>
      </w:r>
      <w:r w:rsidR="00F453AB">
        <w:t>œuvre</w:t>
      </w:r>
      <w:r>
        <w:t xml:space="preserve"> à partir du 5 février 2023 pour les produits pétroliers raffinés. Le plafond de prix pour ces derniers </w:t>
      </w:r>
      <w:r w:rsidR="00F453AB">
        <w:t>n’a</w:t>
      </w:r>
      <w:r>
        <w:t xml:space="preserve"> pas encore été finalisé. </w:t>
      </w:r>
    </w:p>
    <w:p w14:paraId="2FB88F65" w14:textId="77777777" w:rsidR="00D56A3A" w:rsidRDefault="00D56A3A" w:rsidP="000758A5">
      <w:pPr>
        <w:pStyle w:val="NormalWeb"/>
        <w:spacing w:before="0" w:beforeAutospacing="0" w:after="0" w:afterAutospacing="0"/>
        <w:ind w:left="708"/>
        <w:jc w:val="both"/>
      </w:pPr>
      <w:r>
        <w:lastRenderedPageBreak/>
        <w:t>Le plafonnement des prix pour le pétrole entrera en vigueur simultanément dans tous les pays de la Coalition. Les mesures de plafonnement des prix prévoient en outre une période de transition: elles ne s'appliqueront pas au pétrole acheté à un prix supérieur au plafond s'il est chargé sur des navires avant le 5 décembre et déchargé avant le 19 janvier 2023.</w:t>
      </w:r>
    </w:p>
    <w:p w14:paraId="5661D634" w14:textId="77777777" w:rsidR="00D56A3A" w:rsidRDefault="00D56A3A" w:rsidP="000758A5">
      <w:pPr>
        <w:pStyle w:val="NormalWeb"/>
        <w:spacing w:before="0" w:beforeAutospacing="0" w:after="0" w:afterAutospacing="0"/>
        <w:ind w:left="708"/>
        <w:jc w:val="both"/>
      </w:pPr>
      <w:r>
        <w:t xml:space="preserve">Par ailleurs, </w:t>
      </w:r>
      <w:proofErr w:type="spellStart"/>
      <w:r>
        <w:t>l'Opep</w:t>
      </w:r>
      <w:proofErr w:type="spellEnd"/>
      <w:r>
        <w:t xml:space="preserve"> + n'a pas modifié son objectif de production ce week-end. Un tel statu qui était attendu. Le cartel l'avait abaissé de 2 millions de barils par jour début octobre, au grand dam des Etats-Unis.</w:t>
      </w:r>
    </w:p>
    <w:p w14:paraId="438A10A7" w14:textId="77777777" w:rsidR="00774A5F" w:rsidRDefault="00774A5F" w:rsidP="000758A5">
      <w:pPr>
        <w:jc w:val="both"/>
        <w:rPr>
          <w:rFonts w:ascii="Times New Roman" w:hAnsi="Times New Roman" w:cs="Times New Roman"/>
          <w:b/>
          <w:bCs/>
          <w:sz w:val="28"/>
          <w:szCs w:val="28"/>
        </w:rPr>
      </w:pPr>
    </w:p>
    <w:p w14:paraId="76D3B95B" w14:textId="77777777" w:rsidR="00AD3A91" w:rsidRDefault="00AD3A91" w:rsidP="000758A5">
      <w:pPr>
        <w:pStyle w:val="NormalWeb"/>
        <w:numPr>
          <w:ilvl w:val="0"/>
          <w:numId w:val="5"/>
        </w:numPr>
        <w:spacing w:before="0" w:beforeAutospacing="0" w:after="0" w:afterAutospacing="0"/>
        <w:jc w:val="both"/>
      </w:pPr>
      <w:r>
        <w:t xml:space="preserve">Le secteur des services en France s’est contracté en novembre, a confirmé S&amp;P Global, selon une nouvelle estimation. L’indice des directeurs d’achat (PMI) pour ce secteur est ressorti à 49,3 le mois dernier contre 51,7 en octobre. Le PMI avait été annoncé initialement à 49,4. </w:t>
      </w:r>
    </w:p>
    <w:p w14:paraId="337ABC50" w14:textId="77777777" w:rsidR="00AD3A91" w:rsidRDefault="00AD3A91" w:rsidP="000758A5">
      <w:pPr>
        <w:pStyle w:val="NormalWeb"/>
        <w:spacing w:before="0" w:beforeAutospacing="0" w:after="0" w:afterAutospacing="0"/>
        <w:ind w:left="708"/>
        <w:jc w:val="both"/>
      </w:pPr>
      <w:r>
        <w:t xml:space="preserve">" Le secteur des services français a fini par épuiser ses capacités d'endurance en novembre, les dernières données PMI mettant en effet en évidence un recul de l'activité, le premier observé depuis mars 2021 " a déclaré Joe Hayes, économiste senior chez S&amp;P Global </w:t>
      </w:r>
      <w:proofErr w:type="spellStart"/>
      <w:r>
        <w:t>Market</w:t>
      </w:r>
      <w:proofErr w:type="spellEnd"/>
      <w:r>
        <w:t xml:space="preserve"> Intelligence.</w:t>
      </w:r>
    </w:p>
    <w:p w14:paraId="06972467" w14:textId="77777777" w:rsidR="00AD3A91" w:rsidRDefault="00AD3A91" w:rsidP="000758A5">
      <w:pPr>
        <w:pStyle w:val="NormalWeb"/>
        <w:spacing w:before="0" w:beforeAutospacing="0" w:after="0" w:afterAutospacing="0"/>
        <w:ind w:left="708"/>
        <w:jc w:val="both"/>
      </w:pPr>
      <w:r>
        <w:t>Avant d'ajouter : " L'enquête signale également la première diminution du volume du travail en attente depuis plus d'un an et demi, les prestataires de services ayant tenté de maintenir leurs niveaux d'activité grâce au traitement des affaires en cours. Conjuguée à la faiblesse des carnets de commandes, la baisse de l'activité du secteur des services accroît le risque de contraction du PIB français au quatrième trimestre".</w:t>
      </w:r>
    </w:p>
    <w:p w14:paraId="6EB9228C" w14:textId="77777777" w:rsidR="000758A5" w:rsidRDefault="000758A5" w:rsidP="000758A5">
      <w:pPr>
        <w:pStyle w:val="NormalWeb"/>
        <w:spacing w:before="0" w:beforeAutospacing="0" w:after="0" w:afterAutospacing="0"/>
        <w:ind w:left="708"/>
        <w:jc w:val="both"/>
      </w:pPr>
    </w:p>
    <w:p w14:paraId="7D5895F8" w14:textId="3EE4CC84" w:rsidR="000758A5" w:rsidRDefault="000758A5" w:rsidP="000758A5">
      <w:pPr>
        <w:pStyle w:val="NormalWeb"/>
        <w:numPr>
          <w:ilvl w:val="0"/>
          <w:numId w:val="5"/>
        </w:numPr>
        <w:spacing w:before="0" w:beforeAutospacing="0" w:after="0" w:afterAutospacing="0"/>
        <w:jc w:val="both"/>
      </w:pPr>
      <w:r>
        <w:t>La contraction de l’activité dans le secteur privé se poursuit en novembre aux Etats-Unis, a indiqué S&amp;P Global. L’indice des directeurs d’achat (PMI) Composite, qui prend en compte les secteurs manufacturier et des services, est ressorti à 46,4 en novembre. Il s’était élevé à 48,2 en octobre et était attendu à 46,3. Le PMI des services est passé de 47,8 à 46,2 entre octobre et novembre et était attendu à 46,1.</w:t>
      </w:r>
    </w:p>
    <w:p w14:paraId="20DBD526" w14:textId="77777777" w:rsidR="00AD3A91" w:rsidRDefault="00AD3A91" w:rsidP="000758A5">
      <w:pPr>
        <w:jc w:val="both"/>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87CDDDB" w14:textId="77777777" w:rsidR="00774A5F" w:rsidRDefault="00774A5F" w:rsidP="007A2C99">
      <w:pPr>
        <w:pStyle w:val="NormalWeb"/>
        <w:numPr>
          <w:ilvl w:val="0"/>
          <w:numId w:val="6"/>
        </w:numPr>
        <w:jc w:val="both"/>
      </w:pPr>
      <w:r>
        <w:t>Ce sont des valeurs technologiques (Worldline, Capgemini, Dassault Systèmes) qui ont pesé sur le CAC 40 tandis que le Nasdaq Composite se repliait.</w:t>
      </w:r>
    </w:p>
    <w:p w14:paraId="3957BD8D" w14:textId="77777777" w:rsidR="00774A5F" w:rsidRDefault="00774A5F" w:rsidP="007A2C99">
      <w:pPr>
        <w:pStyle w:val="NormalWeb"/>
        <w:numPr>
          <w:ilvl w:val="0"/>
          <w:numId w:val="6"/>
        </w:numPr>
        <w:spacing w:before="0" w:beforeAutospacing="0" w:after="0" w:afterAutospacing="0"/>
        <w:jc w:val="both"/>
      </w:pPr>
      <w:r>
        <w:t xml:space="preserve">En dehors du principal indice parisien, </w:t>
      </w:r>
      <w:proofErr w:type="spellStart"/>
      <w:r>
        <w:t>Valneva</w:t>
      </w:r>
      <w:proofErr w:type="spellEnd"/>
      <w:r>
        <w:t xml:space="preserve"> a été soutenu par les bons résultats d'un candidat vaccin et </w:t>
      </w:r>
      <w:proofErr w:type="spellStart"/>
      <w:r>
        <w:t>Beneteau</w:t>
      </w:r>
      <w:proofErr w:type="spellEnd"/>
      <w:r>
        <w:t xml:space="preserve"> par des perspectives plus favorables.</w:t>
      </w:r>
    </w:p>
    <w:p w14:paraId="2AD66A05" w14:textId="77777777" w:rsidR="008D29CE" w:rsidRDefault="008D29CE" w:rsidP="007A2C99">
      <w:pPr>
        <w:pStyle w:val="NormalWeb"/>
        <w:spacing w:before="0" w:beforeAutospacing="0" w:after="0" w:afterAutospacing="0"/>
        <w:ind w:left="720"/>
        <w:jc w:val="both"/>
      </w:pPr>
    </w:p>
    <w:p w14:paraId="0D7B0BBA" w14:textId="77777777" w:rsidR="008D29CE" w:rsidRDefault="008D29CE" w:rsidP="007A2C99">
      <w:pPr>
        <w:pStyle w:val="NormalWeb"/>
        <w:numPr>
          <w:ilvl w:val="0"/>
          <w:numId w:val="6"/>
        </w:numPr>
        <w:spacing w:before="0" w:beforeAutospacing="0" w:after="0" w:afterAutospacing="0"/>
        <w:jc w:val="both"/>
      </w:pPr>
      <w:r>
        <w:t xml:space="preserve">Le titre Bénéteau a affiché la plus forte hausse du SRD avec un gain de 16,39% à 12,78 euros à la faveur du relèvement de ses perspectives. Le spécialiste des navires de plaisance souligne que l’exercice 2022 sera en avance significative sur le rythme du plan stratégique 2020-2025 « </w:t>
      </w:r>
      <w:proofErr w:type="spellStart"/>
      <w:r>
        <w:t>Let’s</w:t>
      </w:r>
      <w:proofErr w:type="spellEnd"/>
      <w:r>
        <w:t xml:space="preserve"> Go Beyond! ».</w:t>
      </w:r>
    </w:p>
    <w:p w14:paraId="447D83E2" w14:textId="77777777" w:rsidR="008D29CE" w:rsidRDefault="008D29CE" w:rsidP="007A2C99">
      <w:pPr>
        <w:pStyle w:val="NormalWeb"/>
        <w:spacing w:before="0" w:beforeAutospacing="0" w:after="0" w:afterAutospacing="0"/>
        <w:ind w:left="720"/>
        <w:jc w:val="both"/>
      </w:pPr>
      <w:r>
        <w:t>Ainsi, le chiffre d'affaires consolidé du groupe devrait dépasser 1,4 milliard d'euros en 2022, en progression de 15% sur celui de 2021. Le groupe devrait atteindre - voire dépasser - sa dernière prévision de résultat opérationnel courant -de 120 à 125 millions d'euros - qui progresserait ainsi de plus de 30% par rapport à 2021 </w:t>
      </w:r>
    </w:p>
    <w:p w14:paraId="1E39607A" w14:textId="77777777" w:rsidR="008D29CE" w:rsidRDefault="008D29CE" w:rsidP="007A2C99">
      <w:pPr>
        <w:pStyle w:val="NormalWeb"/>
        <w:spacing w:before="0" w:beforeAutospacing="0" w:after="0" w:afterAutospacing="0"/>
        <w:ind w:left="720"/>
        <w:jc w:val="both"/>
      </w:pPr>
      <w:r>
        <w:t>La marge opérationnelle courante du groupe devrait être supérieure à 10% dès 2023 grâce à un carnet de commandes solide, et la croissance du chiffre d'affaires être supérieure à 15%.</w:t>
      </w:r>
    </w:p>
    <w:p w14:paraId="1A36E6F7" w14:textId="77777777" w:rsidR="008D29CE" w:rsidRDefault="008D29CE" w:rsidP="007A2C99">
      <w:pPr>
        <w:pStyle w:val="NormalWeb"/>
        <w:spacing w:before="0" w:beforeAutospacing="0" w:after="0" w:afterAutospacing="0"/>
        <w:ind w:left="720"/>
        <w:jc w:val="both"/>
      </w:pPr>
      <w:r>
        <w:lastRenderedPageBreak/>
        <w:t>Le chiffre d'affaires visé pour 2025 s'établirait entre 1,8 et 2,0 milliards d'euros, soit une croissance annuelle moyenne de l'ordre de 10 %, avec une marge opérationnelle courante à 11,5%, dans la fourchette haute de la prévision.</w:t>
      </w:r>
    </w:p>
    <w:p w14:paraId="47473F83" w14:textId="77777777" w:rsidR="008D29CE" w:rsidRDefault="008D29CE" w:rsidP="007A2C99">
      <w:pPr>
        <w:pStyle w:val="NormalWeb"/>
        <w:spacing w:before="0" w:beforeAutospacing="0" w:after="0" w:afterAutospacing="0"/>
        <w:ind w:left="720"/>
        <w:jc w:val="both"/>
      </w:pPr>
      <w:r>
        <w:t>Dans le détail, Bénéteau annonce pour 2022 une croissance du chiffre d'affaires de sa division Bateau proche de 12%. Cette division vise un chiffre d'affaires compris entre 1,5 et 1,65 milliards d'euros d'ici 2025, avec une progression annuelle moyenne de 10% environ, répartie de façon homogène entre ses marchés. Sur les segments de l'activité Moteur, la croissance des ventes se situerait entre 12% et 14% en rythme annuel d'ici 2025, et sur les segments de la voile entre 7% et 10%. Dans le haut de la fourchette de ce chiffre d'affaires, elle vise une marge opérationnelle de 11,5% d'ici 2025.</w:t>
      </w:r>
    </w:p>
    <w:p w14:paraId="135C5DC2" w14:textId="77777777" w:rsidR="008D29CE" w:rsidRDefault="008D29CE" w:rsidP="007A2C99">
      <w:pPr>
        <w:pStyle w:val="NormalWeb"/>
        <w:spacing w:before="0" w:beforeAutospacing="0" w:after="0" w:afterAutospacing="0"/>
        <w:ind w:left="720"/>
        <w:jc w:val="both"/>
      </w:pPr>
      <w:r>
        <w:t>La marge opérationnelle de la division Habitat, qui s'élevait à 6,8% en 2019, dépasse désormais son niveau pré-Covid. Elle devrait atteindre plus de 7,5% en 2022 et poursuivra sa progression pour s'établir entre 11% et 12% d'ici 2025. Elle devrait atteindre 245 millions d'euros de chiffre d'affaires en 2022 et dépasser les 300 millions d'euros d'ici 2025.</w:t>
      </w:r>
    </w:p>
    <w:p w14:paraId="598594CC" w14:textId="77777777" w:rsidR="008D29CE" w:rsidRDefault="008D29CE" w:rsidP="007A2C99">
      <w:pPr>
        <w:pStyle w:val="NormalWeb"/>
        <w:spacing w:before="0" w:beforeAutospacing="0" w:after="0" w:afterAutospacing="0"/>
        <w:ind w:left="720"/>
        <w:jc w:val="both"/>
      </w:pPr>
      <w:r>
        <w:t>Le chiffre d'affaires des activités location à la semaine et Boat clubs, consolidées par mise en équivalence, dépasserait 300 millions d'euros d'ici 2025, avec une rentabilité opérationnelle supérieure à 6%.</w:t>
      </w:r>
    </w:p>
    <w:p w14:paraId="3F6A818E" w14:textId="77777777" w:rsidR="004F4EE2" w:rsidRDefault="004F4EE2" w:rsidP="007A2C99">
      <w:pPr>
        <w:pStyle w:val="NormalWeb"/>
        <w:spacing w:before="0" w:beforeAutospacing="0" w:after="0" w:afterAutospacing="0"/>
        <w:ind w:left="720"/>
        <w:jc w:val="both"/>
      </w:pPr>
    </w:p>
    <w:p w14:paraId="6C356FDC" w14:textId="77777777" w:rsidR="004F209B" w:rsidRDefault="004F209B" w:rsidP="007A2C99">
      <w:pPr>
        <w:pStyle w:val="NormalWeb"/>
        <w:numPr>
          <w:ilvl w:val="0"/>
          <w:numId w:val="6"/>
        </w:numPr>
        <w:spacing w:before="0" w:beforeAutospacing="0" w:after="0" w:afterAutospacing="0"/>
        <w:jc w:val="both"/>
      </w:pPr>
      <w:proofErr w:type="spellStart"/>
      <w:r>
        <w:t>Valneva</w:t>
      </w:r>
      <w:proofErr w:type="spellEnd"/>
      <w:r>
        <w:t xml:space="preserve">, société spécialisée dans les vaccins, a terminé en hausse de 3,47% à 6,98 euros, affichant ainsi une des plus fortes progressions du SBF 120 après avoir annoncé des données positives pour son candidat vaccin contre le chikungunya. Invest Securities remarque qu'à ce stade, </w:t>
      </w:r>
      <w:proofErr w:type="spellStart"/>
      <w:r>
        <w:t>Valneva</w:t>
      </w:r>
      <w:proofErr w:type="spellEnd"/>
      <w:r>
        <w:t xml:space="preserve"> confirme son calendrier pour ce programme, notamment la finalisation de la soumission du dossier de demande d'AMM (autorisation de mise sur le marché) auprès de la FDA, l'autorité réglementaire américaine, d'ici fin 2022.</w:t>
      </w:r>
    </w:p>
    <w:p w14:paraId="59113EAF" w14:textId="77777777" w:rsidR="004F209B" w:rsidRDefault="004F209B" w:rsidP="007A2C99">
      <w:pPr>
        <w:pStyle w:val="NormalWeb"/>
        <w:spacing w:before="0" w:beforeAutospacing="0" w:after="0" w:afterAutospacing="0"/>
        <w:ind w:left="708"/>
        <w:jc w:val="both"/>
      </w:pPr>
      <w:r>
        <w:t>Une fois que la FDA aura accepté le dossier pour examen, probablement au 1er trimestre 2023, l'agence communiquera une date provisoire qui sera visée pour achever son évaluation du dossier. Le groupe précise envisager de déposer d'autres demandes d'AMM auprès d'autres autorités réglementaires durant 2023.</w:t>
      </w:r>
    </w:p>
    <w:p w14:paraId="059EB1D8" w14:textId="77777777" w:rsidR="004F209B" w:rsidRDefault="004F209B" w:rsidP="007A2C99">
      <w:pPr>
        <w:pStyle w:val="NormalWeb"/>
        <w:spacing w:before="0" w:beforeAutospacing="0" w:after="0" w:afterAutospacing="0"/>
        <w:ind w:left="708"/>
        <w:jc w:val="both"/>
      </w:pPr>
      <w:proofErr w:type="spellStart"/>
      <w:r>
        <w:t>Valneva</w:t>
      </w:r>
      <w:proofErr w:type="spellEnd"/>
      <w:r>
        <w:t xml:space="preserve"> a également initié un essai de Phase 3 chez les adolescents, mené au Brésil par l'Instituto </w:t>
      </w:r>
      <w:proofErr w:type="spellStart"/>
      <w:r>
        <w:t>Butantan</w:t>
      </w:r>
      <w:proofErr w:type="spellEnd"/>
      <w:r>
        <w:t>, pour soutenir l'élargissement de l'indication dans ce groupe d'âge après l'obtention, le cas échéant, d'une autorisation initiale chez les adultes.</w:t>
      </w:r>
    </w:p>
    <w:p w14:paraId="34195F05" w14:textId="77777777" w:rsidR="004F209B" w:rsidRDefault="004F209B" w:rsidP="007A2C99">
      <w:pPr>
        <w:pStyle w:val="NormalWeb"/>
        <w:spacing w:before="0" w:beforeAutospacing="0" w:after="0" w:afterAutospacing="0"/>
        <w:ind w:left="708"/>
        <w:jc w:val="both"/>
      </w:pPr>
      <w:r>
        <w:t xml:space="preserve">Suite à l'annonce de données positives d'immunogénicité et d'innocuité pour l'étude de Phase 3 VLA1553-301 en mars 2022, </w:t>
      </w:r>
      <w:proofErr w:type="spellStart"/>
      <w:r>
        <w:t>Valneva</w:t>
      </w:r>
      <w:proofErr w:type="spellEnd"/>
      <w:r>
        <w:t xml:space="preserve"> avait lancé un essai sur la persistance des anticorps (VLA1553-303) visant à suivre un sous-groupe de participants pendant une période d'au moins cinq ans et à confirmer la durabilité à long terme de la réponse des anticorps après une seule vaccination.</w:t>
      </w:r>
    </w:p>
    <w:p w14:paraId="4C5F1B75" w14:textId="77777777" w:rsidR="004F209B" w:rsidRDefault="004F209B" w:rsidP="007A2C99">
      <w:pPr>
        <w:pStyle w:val="NormalWeb"/>
        <w:spacing w:before="0" w:beforeAutospacing="0" w:after="0" w:afterAutospacing="0"/>
        <w:ind w:left="708"/>
        <w:jc w:val="both"/>
      </w:pPr>
      <w:r>
        <w:t xml:space="preserve">Cet essai sur la persistance des anticorps a porté sur 363 participants adultes en bonne santé qui ont été suivis entre les sixième et douzième mois après vaccination. 99 % des participants ont conservé des titres d'anticorps neutralisants supérieurs au seuil de </w:t>
      </w:r>
      <w:proofErr w:type="spellStart"/>
      <w:r>
        <w:t>séro</w:t>
      </w:r>
      <w:proofErr w:type="spellEnd"/>
      <w:r>
        <w:t>-réponse de 1502 douze mois après une seule vaccination.</w:t>
      </w:r>
    </w:p>
    <w:p w14:paraId="77AD2CC5" w14:textId="77777777" w:rsidR="004F209B" w:rsidRDefault="004F209B" w:rsidP="007A2C99">
      <w:pPr>
        <w:pStyle w:val="NormalWeb"/>
        <w:spacing w:before="0" w:beforeAutospacing="0" w:after="0" w:afterAutospacing="0"/>
        <w:ind w:left="708"/>
        <w:jc w:val="both"/>
      </w:pPr>
      <w:r>
        <w:t>Autre bonne nouvelle : aucun problème de sécurité n'a été identifié pendant la durée de l'étude de suivi, confirmant le profil d'innocuité observé dans les études précédentes.</w:t>
      </w:r>
    </w:p>
    <w:p w14:paraId="75FB27CC" w14:textId="77777777" w:rsidR="00A0774E" w:rsidRDefault="00A0774E" w:rsidP="007A2C99">
      <w:pPr>
        <w:pStyle w:val="NormalWeb"/>
        <w:spacing w:before="0" w:beforeAutospacing="0" w:after="0" w:afterAutospacing="0"/>
        <w:ind w:left="708"/>
        <w:jc w:val="both"/>
      </w:pPr>
    </w:p>
    <w:p w14:paraId="0F05F116" w14:textId="77777777" w:rsidR="00A0774E" w:rsidRDefault="00A0774E" w:rsidP="007A2C99">
      <w:pPr>
        <w:pStyle w:val="NormalWeb"/>
        <w:numPr>
          <w:ilvl w:val="0"/>
          <w:numId w:val="6"/>
        </w:numPr>
        <w:spacing w:before="0" w:beforeAutospacing="0" w:after="0" w:afterAutospacing="0"/>
        <w:jc w:val="both"/>
      </w:pPr>
      <w:r>
        <w:t xml:space="preserve">TF1 a signé hier après-midi sa meilleure audience de l'année grâce à France-Pologne (3-1) en huitièmes de finale de la Coupe du monde de football au Qatar. La chaîne du groupe Bouygues a réuni 14,32 millions de téléspectateurs, soit 68% de part d'audience. Lors de ses trois précédents matches sur la Une, l'équipe de France avait rassemblé 12,53 </w:t>
      </w:r>
      <w:r>
        <w:lastRenderedPageBreak/>
        <w:t>millions de téléspectateurs contre l'Australie (4-1), 11,59 millions face au Danemark (2-1) et 8,84 millions lors de sa défaite face à la Tunisie (0-1).</w:t>
      </w:r>
    </w:p>
    <w:p w14:paraId="71FE82B9" w14:textId="77777777" w:rsidR="00A0774E" w:rsidRDefault="00A0774E" w:rsidP="007A2C99">
      <w:pPr>
        <w:pStyle w:val="NormalWeb"/>
        <w:spacing w:before="0" w:beforeAutospacing="0" w:after="0" w:afterAutospacing="0"/>
        <w:ind w:left="708"/>
        <w:jc w:val="both"/>
      </w:pPr>
      <w:r>
        <w:t xml:space="preserve">Le quart de finale France-Angleterre sera diffusé sur TF1 et </w:t>
      </w:r>
      <w:proofErr w:type="spellStart"/>
      <w:r>
        <w:t>beIN</w:t>
      </w:r>
      <w:proofErr w:type="spellEnd"/>
      <w:r>
        <w:t xml:space="preserve"> Sports ce samedi à 20 heures.</w:t>
      </w:r>
    </w:p>
    <w:p w14:paraId="154B3DC8" w14:textId="77777777" w:rsidR="00A0774E" w:rsidRDefault="00A0774E" w:rsidP="007A2C99">
      <w:pPr>
        <w:pStyle w:val="NormalWeb"/>
        <w:spacing w:before="0" w:beforeAutospacing="0" w:after="0" w:afterAutospacing="0"/>
        <w:ind w:left="708"/>
        <w:jc w:val="both"/>
      </w:pPr>
    </w:p>
    <w:p w14:paraId="44001700" w14:textId="77777777" w:rsidR="005D3303" w:rsidRDefault="005D3303" w:rsidP="007A2C99">
      <w:pPr>
        <w:pStyle w:val="NormalWeb"/>
        <w:numPr>
          <w:ilvl w:val="0"/>
          <w:numId w:val="6"/>
        </w:numPr>
        <w:spacing w:before="0" w:beforeAutospacing="0" w:after="0" w:afterAutospacing="0"/>
        <w:jc w:val="both"/>
      </w:pPr>
      <w:r>
        <w:t>GTT a signé la plus forte baisse du SBF 120 (-7,91% à 105,90 euros) mais progresse encore de près de 30% depuis le début de l'année. Cette baisse fait suite à une décision prise par la High Court de Séoul. Celle-ci a confirmé le 1er décembre 2022, l'obligation faite au spécialiste des systèmes de confinement à membranes dédiés au transport et au stockage des gaz liquéfiés de séparer l'accord de licence technologique de l'assistance technique si les chantiers navals coréens le demandent.</w:t>
      </w:r>
    </w:p>
    <w:p w14:paraId="527F3E21" w14:textId="77777777" w:rsidR="005D3303" w:rsidRDefault="005D3303" w:rsidP="007A2C99">
      <w:pPr>
        <w:pStyle w:val="NormalWeb"/>
        <w:spacing w:before="0" w:beforeAutospacing="0" w:after="0" w:afterAutospacing="0"/>
        <w:ind w:left="708"/>
        <w:jc w:val="both"/>
      </w:pPr>
      <w:r>
        <w:t>La société française étudie actuellement en détail cette décision afin de définir les actions les plus appropriées à mettre en œuvre pour faire valoir ses droits.</w:t>
      </w:r>
    </w:p>
    <w:p w14:paraId="767F5DBD" w14:textId="77777777" w:rsidR="005D3303" w:rsidRDefault="005D3303" w:rsidP="007A2C99">
      <w:pPr>
        <w:pStyle w:val="NormalWeb"/>
        <w:spacing w:before="0" w:beforeAutospacing="0" w:after="0" w:afterAutospacing="0"/>
        <w:ind w:left="708"/>
        <w:jc w:val="both"/>
      </w:pPr>
      <w:r>
        <w:t>GTT considère que son expertise unique est la clé d'un développement sûr du transport maritime de GNL, lui permettant de fournir des technologies toujours plus innovantes, sûres et performantes, pour le bénéfice de l'ensemble de l'industrie.</w:t>
      </w:r>
    </w:p>
    <w:p w14:paraId="0F3C0F21" w14:textId="77777777" w:rsidR="005D3303" w:rsidRDefault="005D3303" w:rsidP="007A2C99">
      <w:pPr>
        <w:pStyle w:val="NormalWeb"/>
        <w:spacing w:before="0" w:beforeAutospacing="0" w:after="0" w:afterAutospacing="0"/>
        <w:ind w:left="708"/>
        <w:jc w:val="both"/>
      </w:pPr>
      <w:r>
        <w:t>La société française tiendra le marché informé de tout développement significatif sur ce sujet.</w:t>
      </w:r>
    </w:p>
    <w:p w14:paraId="7B5F0CD9" w14:textId="77777777" w:rsidR="00774A5F" w:rsidRDefault="00774A5F" w:rsidP="007A2C99">
      <w:pPr>
        <w:jc w:val="both"/>
        <w:rPr>
          <w:rFonts w:ascii="Times New Roman" w:hAnsi="Times New Roman" w:cs="Times New Roman"/>
          <w:b/>
          <w:bCs/>
          <w:sz w:val="28"/>
          <w:szCs w:val="28"/>
        </w:rPr>
      </w:pPr>
    </w:p>
    <w:p w14:paraId="74A86AAF" w14:textId="77777777" w:rsidR="007A2C99" w:rsidRDefault="007A2C99" w:rsidP="007A2C99">
      <w:pPr>
        <w:pStyle w:val="NormalWeb"/>
        <w:numPr>
          <w:ilvl w:val="0"/>
          <w:numId w:val="6"/>
        </w:numPr>
        <w:spacing w:before="0" w:beforeAutospacing="0" w:after="0" w:afterAutospacing="0"/>
        <w:jc w:val="both"/>
      </w:pPr>
      <w:r>
        <w:t>Apple (+0,07% à 147,92 dollars) résiste de peu à la baisse des marchés actions américains. Son sous-traitant, Foxconn, prévoit une reprise totale de la production de son usine chinoise de Zhengzhou, qui fabrique une partie des iPhone de la firme américaine, fin décembre ou début 2023 ont indiqué une source proche du dossier à Reuters. Ce centre de production a été le théâtre de manifestations en novembre en raison de la politique anti-Covid adoptée et de problèmes de paiement de bonus.</w:t>
      </w:r>
    </w:p>
    <w:p w14:paraId="7C11A6DE" w14:textId="77777777" w:rsidR="007A2C99" w:rsidRDefault="007A2C99" w:rsidP="007A2C99">
      <w:pPr>
        <w:pStyle w:val="NormalWeb"/>
        <w:spacing w:before="0" w:beforeAutospacing="0" w:after="0" w:afterAutospacing="0"/>
        <w:ind w:left="708"/>
        <w:jc w:val="both"/>
      </w:pPr>
      <w:r>
        <w:t>Cette agitation risque d'entraîner un déficit de production de près de 6 millions d'iPhone Pro cette année, a prévenu lundi dernier une source proche du dossier citée par Bloomberg.</w:t>
      </w:r>
    </w:p>
    <w:p w14:paraId="4C3B970C" w14:textId="77777777" w:rsidR="007A2C99" w:rsidRDefault="007A2C99" w:rsidP="007A2C99">
      <w:pPr>
        <w:pStyle w:val="NormalWeb"/>
        <w:spacing w:before="0" w:beforeAutospacing="0" w:after="0" w:afterAutospacing="0"/>
        <w:ind w:left="708"/>
        <w:jc w:val="both"/>
      </w:pPr>
      <w:r>
        <w:t xml:space="preserve">Pour autant, </w:t>
      </w:r>
      <w:proofErr w:type="spellStart"/>
      <w:r>
        <w:t>JPMorgan</w:t>
      </w:r>
      <w:proofErr w:type="spellEnd"/>
      <w:r>
        <w:t xml:space="preserve"> note que le temps d'attente pour obtenir les iPhone Pro se réduit au niveau mondial. " Cela dit, les délais sont toujours supérieurs à ceux observés avant l'épidémie de Covid à Zhengzhou, en Chine, et les difficultés actuelles pour atteindre des niveaux de production normalisés pourraient limiter le degré de redressement au cours du trimestre de décembre ", prévient l'analyste. </w:t>
      </w:r>
    </w:p>
    <w:p w14:paraId="251E7FB4" w14:textId="77777777" w:rsidR="007A2C99" w:rsidRDefault="007A2C99" w:rsidP="007A2C99">
      <w:pPr>
        <w:pStyle w:val="NormalWeb"/>
        <w:spacing w:before="0" w:beforeAutospacing="0" w:after="0" w:afterAutospacing="0"/>
        <w:ind w:left="708"/>
        <w:jc w:val="both"/>
      </w:pPr>
      <w:r>
        <w:t>Ces déboires en Chine interviennent alors que la firme à la pomme a commencé à réduire sa trop grande dépendance à l'outil industriel chinois.</w:t>
      </w:r>
    </w:p>
    <w:p w14:paraId="71481ADB" w14:textId="77777777" w:rsidR="007A2C99" w:rsidRDefault="007A2C99" w:rsidP="007A2C99">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8C1C2D8" w14:textId="77777777" w:rsidR="00D87434" w:rsidRDefault="00D87434" w:rsidP="00D87434">
      <w:pPr>
        <w:pStyle w:val="sc-14kwckt-6"/>
        <w:numPr>
          <w:ilvl w:val="0"/>
          <w:numId w:val="6"/>
        </w:numPr>
        <w:spacing w:before="0" w:beforeAutospacing="0" w:after="0" w:afterAutospacing="0"/>
        <w:jc w:val="both"/>
      </w:pPr>
      <w:r>
        <w:t xml:space="preserve">Il est trop tôt pour évoquer un "taux terminal" qui constituerait un pic pour le coût du crédit en zone euro, a déclaré lundi le gouverneur de la Banque de France, François Villeroy de </w:t>
      </w:r>
      <w:proofErr w:type="spellStart"/>
      <w:r>
        <w:t>Galhau</w:t>
      </w:r>
      <w:proofErr w:type="spellEnd"/>
      <w:r>
        <w:t>.</w:t>
      </w:r>
    </w:p>
    <w:p w14:paraId="0C5C7B8A" w14:textId="77777777" w:rsidR="00D87434" w:rsidRDefault="00D87434" w:rsidP="00D87434">
      <w:pPr>
        <w:pStyle w:val="sc-14kwckt-6"/>
        <w:spacing w:before="0" w:beforeAutospacing="0" w:after="0" w:afterAutospacing="0"/>
        <w:ind w:left="708"/>
        <w:jc w:val="both"/>
      </w:pPr>
      <w:r>
        <w:t xml:space="preserve">Lors d'une conférence organisée par l'Autorité de contrôle prudentiel et de résolution (ACPR) à Paris, François Villeroy de </w:t>
      </w:r>
      <w:proofErr w:type="spellStart"/>
      <w:r>
        <w:t>Galhau</w:t>
      </w:r>
      <w:proofErr w:type="spellEnd"/>
      <w:r>
        <w:t xml:space="preserve"> a estimé que la hausse des taux d'intérêt de la Banque centrale européenne (BCE) avait été jusqu'ici "ordonnée", à savoir "ni trop lente, ni prédéterminée".</w:t>
      </w:r>
    </w:p>
    <w:p w14:paraId="52FC10E8" w14:textId="77777777" w:rsidR="00D87434" w:rsidRDefault="00D87434" w:rsidP="00D87434">
      <w:pPr>
        <w:pStyle w:val="sc-14kwckt-6"/>
        <w:spacing w:before="0" w:beforeAutospacing="0" w:after="0" w:afterAutospacing="0"/>
        <w:ind w:left="708"/>
        <w:jc w:val="both"/>
      </w:pPr>
      <w:r>
        <w:t>"Il est trop tôt pour parler d’un 'taux terminal': nous déciderons, réunion après réunion, ce qui est nécessaire?; et nous ne pilotons pas les taux de marché, parfois excessivement volatils", a-t-il déclaré.</w:t>
      </w:r>
    </w:p>
    <w:p w14:paraId="2B2181D4" w14:textId="77777777" w:rsidR="00D87434" w:rsidRDefault="00D87434" w:rsidP="00D87434">
      <w:pPr>
        <w:pStyle w:val="sc-14kwckt-6"/>
        <w:spacing w:before="0" w:beforeAutospacing="0" w:after="0" w:afterAutospacing="0"/>
        <w:ind w:left="708"/>
        <w:jc w:val="both"/>
      </w:pPr>
      <w:r>
        <w:lastRenderedPageBreak/>
        <w:t xml:space="preserve">Gabriel </w:t>
      </w:r>
      <w:proofErr w:type="spellStart"/>
      <w:r>
        <w:t>Makhlouf</w:t>
      </w:r>
      <w:proofErr w:type="spellEnd"/>
      <w:r>
        <w:t>, un autre membre du conseil des gouverneurs de la BCE, a aussi jugé lundi "prématuré" d'évoquer un taux terminal.</w:t>
      </w:r>
    </w:p>
    <w:p w14:paraId="3F7E6AEC" w14:textId="77777777" w:rsidR="00D87434" w:rsidRDefault="00D87434" w:rsidP="00D87434">
      <w:pPr>
        <w:pStyle w:val="sc-14kwckt-6"/>
        <w:spacing w:before="0" w:beforeAutospacing="0" w:after="0" w:afterAutospacing="0"/>
        <w:ind w:left="708"/>
        <w:jc w:val="both"/>
      </w:pPr>
      <w:r>
        <w:t>Il a toutefois prévenu que les responsables politiques de l'institution monétaire devaient être ouverts à ce que les taux d'intérêt progressent en 2023 jusqu'à un niveau où ils deviennent restrictifs pendant un moment sur l'activité économique.</w:t>
      </w:r>
    </w:p>
    <w:p w14:paraId="66CFFF88" w14:textId="77777777" w:rsidR="00D87434" w:rsidRDefault="00D87434" w:rsidP="00D87434">
      <w:pPr>
        <w:pStyle w:val="sc-14kwckt-6"/>
        <w:spacing w:before="0" w:beforeAutospacing="0" w:after="0" w:afterAutospacing="0"/>
        <w:ind w:left="708"/>
        <w:jc w:val="both"/>
      </w:pPr>
      <w:r>
        <w:t xml:space="preserve">Lors de sa conférence, François Villeroy de </w:t>
      </w:r>
      <w:proofErr w:type="spellStart"/>
      <w:r>
        <w:t>Galhau</w:t>
      </w:r>
      <w:proofErr w:type="spellEnd"/>
      <w:r>
        <w:t xml:space="preserve"> a souligné que la hausse des taux d'intérêt était favorable aux banques et assureurs français, qui disposent selon lui de solides bilans.</w:t>
      </w:r>
    </w:p>
    <w:p w14:paraId="548AF120" w14:textId="77777777" w:rsidR="00D87434" w:rsidRDefault="00D87434" w:rsidP="00D87434">
      <w:pPr>
        <w:pStyle w:val="sc-14kwckt-6"/>
        <w:spacing w:before="0" w:beforeAutospacing="0" w:after="0" w:afterAutospacing="0"/>
        <w:ind w:left="708"/>
        <w:jc w:val="both"/>
      </w:pPr>
      <w:r>
        <w:t>"Rien ne nous paraît justifier aujourd’hui une restriction générale sur la distribution de dividendes, comme cela avait été fait temporairement en 2020", lors de la pandémie de COVID-19, a-t-il déclaré.</w:t>
      </w:r>
    </w:p>
    <w:p w14:paraId="715147F7" w14:textId="77777777" w:rsidR="00D87434" w:rsidRDefault="00D87434" w:rsidP="00D87434">
      <w:pPr>
        <w:pStyle w:val="sc-14kwckt-6"/>
        <w:spacing w:before="0" w:beforeAutospacing="0" w:after="0" w:afterAutospacing="0"/>
        <w:ind w:left="708"/>
        <w:jc w:val="both"/>
      </w:pPr>
      <w:r>
        <w:t>"Néanmoins, la prudence s’impose à tous en matière de trajectoire prospective de capital, et dans ce cadre en particulier de rachats d’action qui sont d’ailleurs soumis à une autorisation explicite du superviseur", a-t-il ajouté.</w:t>
      </w:r>
    </w:p>
    <w:p w14:paraId="5642CBC9" w14:textId="77777777" w:rsidR="00D87434" w:rsidRDefault="00D87434" w:rsidP="00D87434">
      <w:pPr>
        <w:pStyle w:val="sc-14kwckt-6"/>
        <w:spacing w:before="0" w:beforeAutospacing="0" w:after="0" w:afterAutospacing="0"/>
        <w:ind w:left="708"/>
        <w:jc w:val="both"/>
      </w:pPr>
      <w:r>
        <w:t xml:space="preserve">François Villeroy de </w:t>
      </w:r>
      <w:proofErr w:type="spellStart"/>
      <w:r>
        <w:t>Galhau</w:t>
      </w:r>
      <w:proofErr w:type="spellEnd"/>
      <w:r>
        <w:t xml:space="preserve"> a indiqué qu'il pourrait y avoir une "pause" après l'augmentation prévue à 1% de la réserve de protection du crédit (dit coussin </w:t>
      </w:r>
      <w:proofErr w:type="spellStart"/>
      <w:r>
        <w:t>contra-cyclique</w:t>
      </w:r>
      <w:proofErr w:type="spellEnd"/>
      <w:r>
        <w:t>), "mais non un relâchement".</w:t>
      </w:r>
    </w:p>
    <w:p w14:paraId="5B90BE00" w14:textId="77777777" w:rsidR="00D87434" w:rsidRDefault="00D87434" w:rsidP="00D87434">
      <w:pPr>
        <w:pStyle w:val="sc-14kwckt-6"/>
        <w:spacing w:before="0" w:beforeAutospacing="0" w:after="0" w:afterAutospacing="0"/>
        <w:ind w:left="708"/>
        <w:jc w:val="both"/>
      </w:pPr>
      <w:r>
        <w:t>Il a jugé que les risques associés à un retournement du marché immobilier en France semblaient limités mais a ajouté que la Banque de France restait attentive, notamment sur le segment de l'immobilier commercial.</w:t>
      </w:r>
    </w:p>
    <w:p w14:paraId="13770EC5" w14:textId="77777777" w:rsidR="00D87434" w:rsidRDefault="00D87434" w:rsidP="00390B38">
      <w:pPr>
        <w:rPr>
          <w:rFonts w:ascii="Times New Roman" w:hAnsi="Times New Roman" w:cs="Times New Roman"/>
          <w:b/>
          <w:bCs/>
          <w:sz w:val="28"/>
          <w:szCs w:val="28"/>
        </w:rPr>
      </w:pPr>
    </w:p>
    <w:p w14:paraId="7B8B143C" w14:textId="7E2785D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96491">
        <w:rPr>
          <w:rFonts w:ascii="Times New Roman" w:hAnsi="Times New Roman" w:cs="Times New Roman"/>
          <w:b/>
          <w:bCs/>
          <w:sz w:val="28"/>
          <w:szCs w:val="28"/>
        </w:rPr>
        <w:t>6</w:t>
      </w:r>
      <w:r>
        <w:rPr>
          <w:rFonts w:ascii="Times New Roman" w:hAnsi="Times New Roman" w:cs="Times New Roman"/>
          <w:b/>
          <w:bCs/>
          <w:sz w:val="28"/>
          <w:szCs w:val="28"/>
        </w:rPr>
        <w:t xml:space="preserve"> </w:t>
      </w:r>
      <w:r w:rsidR="00163758">
        <w:rPr>
          <w:rFonts w:ascii="Times New Roman" w:hAnsi="Times New Roman" w:cs="Times New Roman"/>
          <w:b/>
          <w:bCs/>
          <w:sz w:val="28"/>
          <w:szCs w:val="28"/>
        </w:rPr>
        <w:t>déc</w:t>
      </w:r>
      <w:r w:rsidR="003B3201">
        <w:rPr>
          <w:rFonts w:ascii="Times New Roman" w:hAnsi="Times New Roman" w:cs="Times New Roman"/>
          <w:b/>
          <w:bCs/>
          <w:sz w:val="28"/>
          <w:szCs w:val="28"/>
        </w:rPr>
        <w:t>embre</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Pr>
          <w:rFonts w:ascii="Times New Roman" w:hAnsi="Times New Roman" w:cs="Times New Roman"/>
          <w:b/>
          <w:bCs/>
          <w:sz w:val="28"/>
          <w:szCs w:val="28"/>
        </w:rPr>
        <w:t>2</w:t>
      </w:r>
    </w:p>
    <w:p w14:paraId="69BA0AC8" w14:textId="77777777" w:rsidR="00596491" w:rsidRDefault="00596491" w:rsidP="00596491">
      <w:pPr>
        <w:pStyle w:val="NormalWeb"/>
        <w:ind w:left="708"/>
      </w:pPr>
      <w:r>
        <w:rPr>
          <w:rStyle w:val="lev"/>
        </w:rPr>
        <w:t>8h00 en Allemagne</w:t>
      </w:r>
      <w:r>
        <w:br/>
        <w:t>Commandes à l'industrie en octobre</w:t>
      </w:r>
      <w:r>
        <w:br/>
      </w:r>
      <w:r>
        <w:br/>
      </w:r>
      <w:r>
        <w:rPr>
          <w:rStyle w:val="lev"/>
        </w:rPr>
        <w:t>14h30 aux Etats-Unis</w:t>
      </w:r>
      <w:r>
        <w:br/>
        <w:t>Balance commerciale en octobre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0E7"/>
    <w:multiLevelType w:val="hybridMultilevel"/>
    <w:tmpl w:val="FC90E3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4E0181F"/>
    <w:multiLevelType w:val="hybridMultilevel"/>
    <w:tmpl w:val="32A447B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3"/>
  </w:num>
  <w:num w:numId="4" w16cid:durableId="376704026">
    <w:abstractNumId w:val="4"/>
  </w:num>
  <w:num w:numId="5" w16cid:durableId="155152761">
    <w:abstractNumId w:val="5"/>
  </w:num>
  <w:num w:numId="6" w16cid:durableId="2143576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758A5"/>
    <w:rsid w:val="000A5CEB"/>
    <w:rsid w:val="000E0B5F"/>
    <w:rsid w:val="0012746E"/>
    <w:rsid w:val="00163758"/>
    <w:rsid w:val="001E48A9"/>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4F209B"/>
    <w:rsid w:val="004F4EE2"/>
    <w:rsid w:val="00596491"/>
    <w:rsid w:val="005D3303"/>
    <w:rsid w:val="00605D86"/>
    <w:rsid w:val="00683D68"/>
    <w:rsid w:val="00686A7E"/>
    <w:rsid w:val="006B1046"/>
    <w:rsid w:val="00774A5F"/>
    <w:rsid w:val="007A2C99"/>
    <w:rsid w:val="007C71B7"/>
    <w:rsid w:val="00892420"/>
    <w:rsid w:val="008A2D3D"/>
    <w:rsid w:val="008D29CE"/>
    <w:rsid w:val="00920E56"/>
    <w:rsid w:val="00931514"/>
    <w:rsid w:val="0097386B"/>
    <w:rsid w:val="00995C2A"/>
    <w:rsid w:val="009B4AD0"/>
    <w:rsid w:val="009D09DF"/>
    <w:rsid w:val="00A0774E"/>
    <w:rsid w:val="00A50FFC"/>
    <w:rsid w:val="00A7423B"/>
    <w:rsid w:val="00A852F4"/>
    <w:rsid w:val="00A8646C"/>
    <w:rsid w:val="00AD3A91"/>
    <w:rsid w:val="00AE24D8"/>
    <w:rsid w:val="00AF75B8"/>
    <w:rsid w:val="00B47AC3"/>
    <w:rsid w:val="00BF1707"/>
    <w:rsid w:val="00CC1D8E"/>
    <w:rsid w:val="00D56A3A"/>
    <w:rsid w:val="00D87434"/>
    <w:rsid w:val="00DD1FCE"/>
    <w:rsid w:val="00DD5DAA"/>
    <w:rsid w:val="00F453AB"/>
    <w:rsid w:val="00F76296"/>
    <w:rsid w:val="00F877EB"/>
    <w:rsid w:val="00F8793F"/>
    <w:rsid w:val="00FA36AC"/>
    <w:rsid w:val="00FB770C"/>
    <w:rsid w:val="00FF2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3179">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55944366">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69515317">
      <w:bodyDiv w:val="1"/>
      <w:marLeft w:val="0"/>
      <w:marRight w:val="0"/>
      <w:marTop w:val="0"/>
      <w:marBottom w:val="0"/>
      <w:divBdr>
        <w:top w:val="none" w:sz="0" w:space="0" w:color="auto"/>
        <w:left w:val="none" w:sz="0" w:space="0" w:color="auto"/>
        <w:bottom w:val="none" w:sz="0" w:space="0" w:color="auto"/>
        <w:right w:val="none" w:sz="0" w:space="0" w:color="auto"/>
      </w:divBdr>
    </w:div>
    <w:div w:id="541938071">
      <w:bodyDiv w:val="1"/>
      <w:marLeft w:val="0"/>
      <w:marRight w:val="0"/>
      <w:marTop w:val="0"/>
      <w:marBottom w:val="0"/>
      <w:divBdr>
        <w:top w:val="none" w:sz="0" w:space="0" w:color="auto"/>
        <w:left w:val="none" w:sz="0" w:space="0" w:color="auto"/>
        <w:bottom w:val="none" w:sz="0" w:space="0" w:color="auto"/>
        <w:right w:val="none" w:sz="0" w:space="0" w:color="auto"/>
      </w:divBdr>
    </w:div>
    <w:div w:id="547688406">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13949609">
      <w:bodyDiv w:val="1"/>
      <w:marLeft w:val="0"/>
      <w:marRight w:val="0"/>
      <w:marTop w:val="0"/>
      <w:marBottom w:val="0"/>
      <w:divBdr>
        <w:top w:val="none" w:sz="0" w:space="0" w:color="auto"/>
        <w:left w:val="none" w:sz="0" w:space="0" w:color="auto"/>
        <w:bottom w:val="none" w:sz="0" w:space="0" w:color="auto"/>
        <w:right w:val="none" w:sz="0" w:space="0" w:color="auto"/>
      </w:divBdr>
    </w:div>
    <w:div w:id="74483844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71667092">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81063510">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01636325">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25714104">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2234</Words>
  <Characters>12289</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2022-12-05T17:20:00Z</dcterms:created>
  <dcterms:modified xsi:type="dcterms:W3CDTF">2022-12-05T17:47:00Z</dcterms:modified>
</cp:coreProperties>
</file>