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269A450"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8E0B3C">
        <w:rPr>
          <w:rFonts w:ascii="Times New Roman" w:hAnsi="Times New Roman" w:cs="Times New Roman"/>
          <w:b/>
          <w:bCs/>
          <w:sz w:val="28"/>
          <w:szCs w:val="28"/>
        </w:rPr>
        <w:t>1</w:t>
      </w:r>
      <w:r w:rsidR="008E0B3C" w:rsidRPr="008E0B3C">
        <w:rPr>
          <w:rFonts w:ascii="Times New Roman" w:hAnsi="Times New Roman" w:cs="Times New Roman"/>
          <w:b/>
          <w:bCs/>
          <w:sz w:val="28"/>
          <w:szCs w:val="28"/>
          <w:vertAlign w:val="superscript"/>
        </w:rPr>
        <w:t>er</w:t>
      </w:r>
      <w:r w:rsidR="008E0B3C">
        <w:rPr>
          <w:rFonts w:ascii="Times New Roman" w:hAnsi="Times New Roman" w:cs="Times New Roman"/>
          <w:b/>
          <w:bCs/>
          <w:sz w:val="28"/>
          <w:szCs w:val="28"/>
        </w:rPr>
        <w:t xml:space="preserve"> février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B8550E9" w14:textId="77777777" w:rsidR="0038116C"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Les marchés actions européens ont clôturé en ordre dispersé à quelques heures de la décision de politique monétaire de la Fed. Le CAC 40 a cédé 0,07% à 7077,71 points tandis que l'EuroStoxx50 a grappillé 0,19% à 4 171,44 points. A Wall Street, les indices évoluent dans le rouge.Vers 17h45, le Dow Jones perd 0,72% à 33 841,36 points.</w:t>
      </w:r>
    </w:p>
    <w:p w14:paraId="294CBA0D"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L'événement attendu de ce mercredi concerne la Fed qui doit rendre son verdict en début de soirée. Thomas Costerg, senior US economist de Pictet Wealth Management, résume le sentiment ambiant des marchés. "La Fed devrait monter ses taux de 25 points de base (pb) le 1er février, un rythme plus modeste que 50 pb en décembre et 75pb en novembre. La raison de cette baisse de rythme est surtout axée autour des récentes statistiques d'inflation, qui montrent une décrue depuis l'été".</w:t>
      </w:r>
    </w:p>
    <w:p w14:paraId="3CD6D4A2"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Après la Réserve fédérale américaine, des hausses de taux directeurs sont attendues demain de la part de la Banque d'Angleterre et de la Banque centrale européenne.</w:t>
      </w:r>
    </w:p>
    <w:p w14:paraId="1A7BF01E"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Pour cette première séance du mois de février figurait à l'agenda une pluie d'indicateurs économiques aussi bien sur la scène européenne qu'américaine.</w:t>
      </w:r>
    </w:p>
    <w:p w14:paraId="60843D82"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En France, le PMI manufacturier est repassé au-dessus de 50 en janvier, après 49,2 en décembre, selon S&amp;P Global. Les signes d'amélioration de la conjoncture dans le secteur manufacturier français se sont confirmés en janvier, l'enquête mettant en évidence un ralentissement des baisses de la production et des nouvelles commandes au cours du mois. " , commente Joe Hayes, économiste en chef chez S&amp;P Global Market Intelligence.</w:t>
      </w:r>
    </w:p>
    <w:p w14:paraId="0AFFAD87"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En Allemagne, la contraction de l'activité manufacturière est ressortie légèrement plus faible que prévu, avec un indice des directeurs d'achat s'établissant à 47,3 en janvier contre un consensus de 47 après 47,1 le mois précédent.</w:t>
      </w:r>
    </w:p>
    <w:p w14:paraId="0C998F44"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Le taux de chômage dans la zone euro s'est stabilisé en janvier, de l'ordre de 6,6% alors que La contraction du secteur manufacturier de la zone euro a été conforme aux attentes en janvier.</w:t>
      </w:r>
    </w:p>
    <w:p w14:paraId="358A4A69"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L'inflation en zone euro a marqué un ralentissement plus prononcé que prévu sur le mois de janvier , à 8,5% contre 9% de consensus après 9,2% en décembre</w:t>
      </w:r>
      <w:r w:rsidR="005E7D38" w:rsidRPr="005E7D38">
        <w:rPr>
          <w:color w:val="555555"/>
        </w:rPr>
        <w:t>.</w:t>
      </w:r>
    </w:p>
    <w:p w14:paraId="2027F964"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Outre-Atlantique, les créations d'emplois dans le secteur privé ont reculé plus que prévu.</w:t>
      </w:r>
    </w:p>
    <w:p w14:paraId="3A6FBBD9" w14:textId="77777777" w:rsidR="005E7D38"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Par ailleurs, le rapport Jolts du Département américain au Travail a fait ressortir 11,012 millions d'ouvertures de postes en décembre, le consensus étant de l0,250 millions. Cette mesure très suivie par la Fed de la tension sur le marché du travail, a enregistré une hausse inattendue. Un mois plus tôt, ces ouvertures de postes étaient au nombre de 10,440 millions.  </w:t>
      </w:r>
    </w:p>
    <w:p w14:paraId="5C44671E" w14:textId="0FF4B927" w:rsidR="00B2369A" w:rsidRPr="005E7D38" w:rsidRDefault="00B2369A" w:rsidP="005E7D38">
      <w:pPr>
        <w:pStyle w:val="NormalWeb"/>
        <w:numPr>
          <w:ilvl w:val="0"/>
          <w:numId w:val="9"/>
        </w:numPr>
        <w:shd w:val="clear" w:color="auto" w:fill="FFFFFF"/>
        <w:spacing w:before="0" w:beforeAutospacing="0"/>
        <w:jc w:val="both"/>
        <w:rPr>
          <w:color w:val="555555"/>
        </w:rPr>
      </w:pPr>
      <w:r w:rsidRPr="005E7D38">
        <w:rPr>
          <w:color w:val="555555"/>
        </w:rPr>
        <w:t>Et pour compléter le panorama des indicateurs américains, les dépenses de construction ont baissé plus que prévu en décembre et l'indice ISM manufacturier américain est ressorti à 47,4 en janvier alors qu'il était attendu à 48 après 48,4 en décembre.</w:t>
      </w:r>
    </w:p>
    <w:p w14:paraId="577AC1D8" w14:textId="77777777" w:rsidR="00AB300D" w:rsidRPr="005E7D38" w:rsidRDefault="00AB300D" w:rsidP="005E7D38">
      <w:pPr>
        <w:pStyle w:val="NormalWeb"/>
        <w:numPr>
          <w:ilvl w:val="0"/>
          <w:numId w:val="8"/>
        </w:numPr>
        <w:shd w:val="clear" w:color="auto" w:fill="FFFFFF"/>
        <w:spacing w:before="0" w:beforeAutospacing="0" w:after="0" w:afterAutospacing="0"/>
        <w:jc w:val="both"/>
        <w:rPr>
          <w:color w:val="555555"/>
        </w:rPr>
      </w:pPr>
      <w:r w:rsidRPr="005E7D38">
        <w:rPr>
          <w:color w:val="555555"/>
        </w:rPr>
        <w:t xml:space="preserve">Le dernier rapport du World Gold Council sur les tendances de la demande d'or révèle que celle-ci (hors OTC) a augmenté de 18 % en glissement annuel en 2022, atteignant 4 741 tonnes. Il s'agit du total annuel le plus élevé depuis 2011. Stimulée par un </w:t>
      </w:r>
      <w:r w:rsidRPr="005E7D38">
        <w:rPr>
          <w:color w:val="555555"/>
        </w:rPr>
        <w:lastRenderedPageBreak/>
        <w:t>quatrième trimestre record, la demande d'or a bénéficié des achats massifs des banques centrales et par la persistance d'un fort investissement des particuliers. La demande annuelle des banques centrales a plus que doublé pour atteindre 1 136 tonnes en 2022, contre 450 tonnes l'année précédente.</w:t>
      </w:r>
    </w:p>
    <w:p w14:paraId="1B6B51A4" w14:textId="77777777" w:rsidR="00AB300D" w:rsidRPr="005E7D38" w:rsidRDefault="00AB300D" w:rsidP="005E7D38">
      <w:pPr>
        <w:pStyle w:val="NormalWeb"/>
        <w:shd w:val="clear" w:color="auto" w:fill="FFFFFF"/>
        <w:spacing w:before="0" w:beforeAutospacing="0" w:after="0" w:afterAutospacing="0"/>
        <w:ind w:left="708"/>
        <w:jc w:val="both"/>
        <w:rPr>
          <w:color w:val="555555"/>
        </w:rPr>
      </w:pPr>
      <w:r w:rsidRPr="005E7D38">
        <w:rPr>
          <w:color w:val="555555"/>
        </w:rPr>
        <w:t>C'est un nouveau record en 55 ans. Par ailleurs, les achats au seul quatrième trimestre 2022 ont atteint 417 tonnes, portant le total pour le second semestre 2022 à plus de 800 tonnes.</w:t>
      </w:r>
    </w:p>
    <w:p w14:paraId="7F27AFB4" w14:textId="77777777" w:rsidR="00AB300D" w:rsidRPr="005E7D38" w:rsidRDefault="00AB300D" w:rsidP="005E7D38">
      <w:pPr>
        <w:pStyle w:val="NormalWeb"/>
        <w:shd w:val="clear" w:color="auto" w:fill="FFFFFF"/>
        <w:spacing w:before="0" w:beforeAutospacing="0" w:after="0" w:afterAutospacing="0"/>
        <w:ind w:left="708"/>
        <w:jc w:val="both"/>
        <w:rPr>
          <w:color w:val="555555"/>
        </w:rPr>
      </w:pPr>
      <w:r w:rsidRPr="005E7D38">
        <w:rPr>
          <w:color w:val="555555"/>
        </w:rPr>
        <w:t>Le total des investissements européens en lingots et pièces d'or pour 2022 a dépassé les 300 tonnes.</w:t>
      </w:r>
    </w:p>
    <w:p w14:paraId="308C9643" w14:textId="77777777" w:rsidR="00AB300D" w:rsidRPr="005E7D38" w:rsidRDefault="00AB300D" w:rsidP="005E7D38">
      <w:pPr>
        <w:pStyle w:val="NormalWeb"/>
        <w:shd w:val="clear" w:color="auto" w:fill="FFFFFF"/>
        <w:spacing w:before="0" w:beforeAutospacing="0" w:after="0" w:afterAutospacing="0"/>
        <w:ind w:left="708"/>
        <w:jc w:val="both"/>
        <w:rPr>
          <w:color w:val="555555"/>
        </w:rPr>
      </w:pPr>
      <w:r w:rsidRPr="005E7D38">
        <w:rPr>
          <w:color w:val="555555"/>
        </w:rPr>
        <w:t>Louise Street, analyste principale des marchés au World Gold Council, a commenté : " Les divers moteurs de la demande d'or ont joué un rôle d'équilibriste, la hausse des taux d'intérêt ayant entraîné des retraits tactiques des ETF, tandis que l'inflation élevée a stimulé les investissements en lingots et pièces d'or. Au final, la demande globale d'investissement a augmenté de 10 % par rapport à l'année précédente ".</w:t>
      </w:r>
    </w:p>
    <w:p w14:paraId="16886DA0" w14:textId="77777777" w:rsidR="00B2369A" w:rsidRPr="005E7D38" w:rsidRDefault="00B2369A" w:rsidP="005E7D38">
      <w:pPr>
        <w:jc w:val="both"/>
        <w:rPr>
          <w:rFonts w:ascii="Times New Roman" w:hAnsi="Times New Roman" w:cs="Times New Roman"/>
          <w:b/>
          <w:bCs/>
          <w:sz w:val="24"/>
          <w:szCs w:val="24"/>
        </w:rPr>
      </w:pPr>
    </w:p>
    <w:p w14:paraId="61FFA1D8" w14:textId="4449FE71" w:rsidR="00DC4499" w:rsidRPr="005E7D38" w:rsidRDefault="00DC4499" w:rsidP="005E7D38">
      <w:pPr>
        <w:pStyle w:val="Paragraphedeliste"/>
        <w:numPr>
          <w:ilvl w:val="0"/>
          <w:numId w:val="7"/>
        </w:numPr>
        <w:jc w:val="both"/>
        <w:rPr>
          <w:rFonts w:ascii="Times New Roman" w:hAnsi="Times New Roman" w:cs="Times New Roman"/>
          <w:color w:val="555555"/>
          <w:sz w:val="24"/>
          <w:szCs w:val="24"/>
          <w:shd w:val="clear" w:color="auto" w:fill="FFFFFF"/>
        </w:rPr>
      </w:pPr>
      <w:r w:rsidRPr="005E7D38">
        <w:rPr>
          <w:rFonts w:ascii="Times New Roman" w:hAnsi="Times New Roman" w:cs="Times New Roman"/>
          <w:color w:val="555555"/>
          <w:sz w:val="24"/>
          <w:szCs w:val="24"/>
          <w:shd w:val="clear" w:color="auto" w:fill="FFFFFF"/>
        </w:rPr>
        <w:t>La devise européenne gagne 0,47% à 1,0918 dollar, peu avant 17h30 et à quelques heures de la décision de politique monétaire de la Fed. " C’est surtout le discours de Mr Powell qui sera scruté et qui devra faire oublier les atermoiements des deux dernières réunions. Mr Powell restera focalisé sur l’inflation salariale et devra nous donner des perspectives sur cette partie structurelle de l’inflation ", explique Amplegest. " Il devrait également avoir un regard sur l’activité économique qui semble plus résiliente que prévu".</w:t>
      </w:r>
    </w:p>
    <w:p w14:paraId="026CC51D" w14:textId="77777777" w:rsidR="002F4C5A" w:rsidRPr="005E7D38" w:rsidRDefault="002F4C5A" w:rsidP="005E7D38">
      <w:pPr>
        <w:pStyle w:val="NormalWeb"/>
        <w:numPr>
          <w:ilvl w:val="0"/>
          <w:numId w:val="6"/>
        </w:numPr>
        <w:shd w:val="clear" w:color="auto" w:fill="FFFFFF"/>
        <w:spacing w:before="0" w:beforeAutospacing="0" w:after="0" w:afterAutospacing="0"/>
        <w:jc w:val="both"/>
        <w:rPr>
          <w:color w:val="555555"/>
        </w:rPr>
      </w:pPr>
      <w:r w:rsidRPr="005E7D38">
        <w:rPr>
          <w:color w:val="555555"/>
        </w:rPr>
        <w:t>Le taux de chômage corrigé des variations saisonnières en zone euro s'est établi à 6,6% pour le mois de janvier, au même niveau que le mois précédent, a indiqué EuroStat. Il était attendu à 6,5% par les économistes. Le taux de chômage de l'Union européenne était de 6,1% en décembre 2022, un taux également stable par rapport au taux enregistré en novembre 2022 et en baisse par rapport au taux de 6,4% enregistré en décembre 2021.</w:t>
      </w:r>
    </w:p>
    <w:p w14:paraId="21D2A362" w14:textId="77777777" w:rsidR="002F4C5A" w:rsidRPr="005E7D38" w:rsidRDefault="002F4C5A" w:rsidP="005E7D38">
      <w:pPr>
        <w:pStyle w:val="NormalWeb"/>
        <w:shd w:val="clear" w:color="auto" w:fill="FFFFFF"/>
        <w:spacing w:before="0" w:beforeAutospacing="0" w:after="0" w:afterAutospacing="0"/>
        <w:ind w:left="708"/>
        <w:jc w:val="both"/>
        <w:rPr>
          <w:color w:val="555555"/>
        </w:rPr>
      </w:pPr>
      <w:r w:rsidRPr="005E7D38">
        <w:rPr>
          <w:color w:val="555555"/>
        </w:rPr>
        <w:t>Eurostat estime qu'en décembre 2022, 13,148 millions personnes étaient au chômage dans l'UE, dont 11,048 millions dans la zone euro. Par rapport à novembre 2022, le chômage a augmenté de 28 mille dans l'UE et de 23 mille dans la zone euro. Par rapport à décembre 2021, le chômage a diminué de 518 mille dans l'UE et de 494 mille dans la zone euro.</w:t>
      </w:r>
    </w:p>
    <w:p w14:paraId="28D2A2C6" w14:textId="77777777" w:rsidR="002F4C5A" w:rsidRPr="005E7D38" w:rsidRDefault="002F4C5A" w:rsidP="005E7D38">
      <w:pPr>
        <w:pStyle w:val="NormalWeb"/>
        <w:shd w:val="clear" w:color="auto" w:fill="FFFFFF"/>
        <w:spacing w:before="0" w:beforeAutospacing="0" w:after="0" w:afterAutospacing="0"/>
        <w:ind w:left="708"/>
        <w:jc w:val="both"/>
        <w:rPr>
          <w:color w:val="555555"/>
        </w:rPr>
      </w:pPr>
      <w:r w:rsidRPr="005E7D38">
        <w:rPr>
          <w:color w:val="555555"/>
        </w:rPr>
        <w:t>Dans un focus sur le chômage des jeunes, Eurostat précise qu'en décembre 2022, 2,862 millions de jeunes (de moins de 25 ans) étaient au chômage dans l'UE, dont 2,311 millions dans la zone euro. En décembre 2022, le taux de chômage des jeunes s'est établi à 15,0% dans l'UE et à 14,8% dans la zone euro, des taux respectivement en hausse et stable par rapport au taux de 14,8% enregistré dans les deux zones au mois précédent.</w:t>
      </w:r>
    </w:p>
    <w:p w14:paraId="33BB4AF1" w14:textId="77777777" w:rsidR="002F4C5A" w:rsidRPr="005E7D38" w:rsidRDefault="002F4C5A" w:rsidP="005E7D38">
      <w:pPr>
        <w:pStyle w:val="NormalWeb"/>
        <w:shd w:val="clear" w:color="auto" w:fill="FFFFFF"/>
        <w:spacing w:before="0" w:beforeAutospacing="0" w:after="0" w:afterAutospacing="0"/>
        <w:ind w:left="708"/>
        <w:jc w:val="both"/>
        <w:rPr>
          <w:color w:val="555555"/>
        </w:rPr>
      </w:pPr>
      <w:r w:rsidRPr="005E7D38">
        <w:rPr>
          <w:color w:val="555555"/>
        </w:rPr>
        <w:t>Par rapport à novembre 2022, le chômage des jeunes a augmenté de 30 000 dans l'UE et de 3 000 dans la zone euro. Par rapport à décembre 2021, le chômage des jeunes a augmenté de 209 000 dans l'UE et de 156 000 dans la zone euro.</w:t>
      </w:r>
    </w:p>
    <w:p w14:paraId="3D143120" w14:textId="77777777" w:rsidR="002F4C5A" w:rsidRPr="005E7D38" w:rsidRDefault="002F4C5A" w:rsidP="005E7D38">
      <w:pPr>
        <w:jc w:val="both"/>
        <w:rPr>
          <w:rFonts w:ascii="Times New Roman" w:hAnsi="Times New Roman" w:cs="Times New Roman"/>
          <w:b/>
          <w:bCs/>
          <w:sz w:val="24"/>
          <w:szCs w:val="24"/>
        </w:rPr>
      </w:pPr>
    </w:p>
    <w:p w14:paraId="21E46C5A" w14:textId="77777777" w:rsidR="006C11CB" w:rsidRPr="005E7D38" w:rsidRDefault="006C11CB" w:rsidP="005E7D38">
      <w:pPr>
        <w:pStyle w:val="NormalWeb"/>
        <w:numPr>
          <w:ilvl w:val="0"/>
          <w:numId w:val="5"/>
        </w:numPr>
        <w:shd w:val="clear" w:color="auto" w:fill="FFFFFF"/>
        <w:spacing w:before="0" w:beforeAutospacing="0" w:after="0" w:afterAutospacing="0"/>
        <w:jc w:val="both"/>
        <w:rPr>
          <w:color w:val="555555"/>
        </w:rPr>
      </w:pPr>
      <w:r w:rsidRPr="005E7D38">
        <w:rPr>
          <w:color w:val="555555"/>
        </w:rPr>
        <w:t>L’indice des directeurs d’achat est ressorti à 50,5 pour le mois de janvier en France contre un consensus de 50,8 après 49,2 en décembre, a indiqué S&amp;P Global. Un PMI sous 50 signale une contraction du secteur.</w:t>
      </w:r>
    </w:p>
    <w:p w14:paraId="531D8413" w14:textId="77777777" w:rsidR="006C11CB" w:rsidRPr="005E7D38" w:rsidRDefault="006C11CB" w:rsidP="005E7D38">
      <w:pPr>
        <w:pStyle w:val="NormalWeb"/>
        <w:shd w:val="clear" w:color="auto" w:fill="FFFFFF"/>
        <w:spacing w:before="0" w:beforeAutospacing="0" w:after="0" w:afterAutospacing="0"/>
        <w:ind w:left="708"/>
        <w:jc w:val="both"/>
        <w:rPr>
          <w:color w:val="555555"/>
        </w:rPr>
      </w:pPr>
      <w:r w:rsidRPr="005E7D38">
        <w:rPr>
          <w:color w:val="555555"/>
        </w:rPr>
        <w:t xml:space="preserve">Joe Hayes, économiste en chef chez S&amp;P Global Market Intelligence, commente ainsi les derniers résultats de l'enquête PMI : " Les signes d'amélioration de la conjoncture dans le secteur manufacturier français se sont confirmés en janvier, l'enquête mettant en </w:t>
      </w:r>
      <w:r w:rsidRPr="005E7D38">
        <w:rPr>
          <w:color w:val="555555"/>
        </w:rPr>
        <w:lastRenderedPageBreak/>
        <w:t>évidence un ralentissement des baisses de la production et des nouvelles commandes au cours du mois. Les rythmes de contraction ont été peu soutenus, et nettement plus faibles que ceux observés tout au long du deuxième semestre 2022 ".</w:t>
      </w:r>
    </w:p>
    <w:p w14:paraId="6106BC0A" w14:textId="77777777" w:rsidR="006C11CB" w:rsidRPr="005E7D38" w:rsidRDefault="006C11CB" w:rsidP="005E7D38">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24D44F6" w14:textId="6E04BBCF" w:rsidR="00CF4FE7" w:rsidRPr="008E02CF" w:rsidRDefault="003B01B8" w:rsidP="008E02CF">
      <w:pPr>
        <w:pStyle w:val="NormalWeb"/>
        <w:numPr>
          <w:ilvl w:val="0"/>
          <w:numId w:val="5"/>
        </w:numPr>
        <w:shd w:val="clear" w:color="auto" w:fill="FFFFFF"/>
        <w:spacing w:before="0" w:beforeAutospacing="0" w:after="0" w:afterAutospacing="0"/>
        <w:jc w:val="both"/>
        <w:rPr>
          <w:color w:val="555555"/>
        </w:rPr>
      </w:pPr>
      <w:r w:rsidRPr="008E02CF">
        <w:rPr>
          <w:color w:val="555555"/>
        </w:rPr>
        <w:t xml:space="preserve">Au chapitre des valeurs, </w:t>
      </w:r>
      <w:r w:rsidR="00CF4FE7" w:rsidRPr="008E02CF">
        <w:rPr>
          <w:color w:val="555555"/>
        </w:rPr>
        <w:t>Orpea a annoncé ce jour avoir conclu un accord de principe aux termes duquel le groupement mené par la Caisse des Dépôts et Consignations (CDC) détiendrait environ 50,2% du capital du groupe. Le titre a vécu un début de séance mouvementé, tombant à 4,75 euros avant de remonter jusqu’à 7,64 euros : cotant à 5,54 à la clôture euros (-22,19%), l’action est lanterne rouge du SBF120. Elle avait été suspendue lundi. Le plan de restructuration comprend la conversion en capital de l'intégralité des dettes financières non sécurisées portées par la holding, à savoir 3,8 milliards d'euros.</w:t>
      </w:r>
    </w:p>
    <w:p w14:paraId="095B52EF" w14:textId="77777777" w:rsidR="00CF4FE7" w:rsidRPr="008E02CF" w:rsidRDefault="00CF4FE7" w:rsidP="008E02CF">
      <w:pPr>
        <w:pStyle w:val="NormalWeb"/>
        <w:shd w:val="clear" w:color="auto" w:fill="FFFFFF"/>
        <w:spacing w:before="0" w:beforeAutospacing="0" w:after="0" w:afterAutospacing="0"/>
        <w:ind w:left="708"/>
        <w:jc w:val="both"/>
        <w:rPr>
          <w:color w:val="555555"/>
        </w:rPr>
      </w:pPr>
      <w:r w:rsidRPr="008E02CF">
        <w:rPr>
          <w:color w:val="555555"/>
        </w:rPr>
        <w:t>Il comprend aussi un apport de fonds propres en numéraire à hauteur de 1,55 milliard, dont 1,36 milliard souscrit par le groupement mené par la CDC.</w:t>
      </w:r>
    </w:p>
    <w:p w14:paraId="0F894BD5" w14:textId="77777777" w:rsidR="00CF4FE7" w:rsidRPr="008E02CF" w:rsidRDefault="00CF4FE7" w:rsidP="008E02CF">
      <w:pPr>
        <w:pStyle w:val="NormalWeb"/>
        <w:shd w:val="clear" w:color="auto" w:fill="FFFFFF"/>
        <w:spacing w:before="0" w:beforeAutospacing="0" w:after="0" w:afterAutospacing="0"/>
        <w:ind w:left="708"/>
        <w:jc w:val="both"/>
        <w:rPr>
          <w:color w:val="555555"/>
        </w:rPr>
      </w:pPr>
      <w:r w:rsidRPr="008E02CF">
        <w:rPr>
          <w:color w:val="555555"/>
        </w:rPr>
        <w:t>Ces opérations doivent permettre de garantir l'équilibre financier futur du groupe, avec une réduction de près de 60% de son endettement net sur une base pro forma au 31 décembre 2022, et à terme une réduction très significative de son ratio de levier, inférieur à 6,5 à horizon fin 2025. La dette brute consolidée d'Orpea s'élevait à 9,5 milliards d'euros au 30 septembre 2022.</w:t>
      </w:r>
    </w:p>
    <w:p w14:paraId="32319CDA" w14:textId="77777777" w:rsidR="003F31C4" w:rsidRPr="008E02CF" w:rsidRDefault="003F31C4" w:rsidP="008E02CF">
      <w:pPr>
        <w:pStyle w:val="NormalWeb"/>
        <w:shd w:val="clear" w:color="auto" w:fill="FFFFFF"/>
        <w:spacing w:before="0" w:beforeAutospacing="0" w:after="0" w:afterAutospacing="0"/>
        <w:ind w:left="708"/>
        <w:jc w:val="both"/>
        <w:rPr>
          <w:color w:val="555555"/>
        </w:rPr>
      </w:pPr>
    </w:p>
    <w:p w14:paraId="1CFBF4C6" w14:textId="77777777" w:rsidR="004425A3" w:rsidRPr="008E02CF" w:rsidRDefault="004425A3" w:rsidP="008E02CF">
      <w:pPr>
        <w:pStyle w:val="NormalWeb"/>
        <w:numPr>
          <w:ilvl w:val="0"/>
          <w:numId w:val="5"/>
        </w:numPr>
        <w:shd w:val="clear" w:color="auto" w:fill="FFFFFF"/>
        <w:spacing w:before="0" w:beforeAutospacing="0" w:after="0" w:afterAutospacing="0"/>
        <w:jc w:val="both"/>
        <w:rPr>
          <w:color w:val="555555"/>
        </w:rPr>
      </w:pPr>
      <w:r w:rsidRPr="008E02CF">
        <w:rPr>
          <w:color w:val="555555"/>
        </w:rPr>
        <w:t>Netgem a annoncé un chiffre d’affaires et une marge brute sur l’exercice 2022 s’élevant à 36,3 millions d’euros et 20,1 millions d’euros en hausse respectivement de 28% et 14%. La Société termine l’année 2022 avec une base de 508 000 abonnés netgem.tv, gérés pour le compte d’une vingtaine d’opérateurs de télécommunication fixe en Europe, sous marque de l’opérateur.</w:t>
      </w:r>
    </w:p>
    <w:p w14:paraId="08EA0FFF" w14:textId="77777777" w:rsidR="004425A3" w:rsidRPr="008E02CF" w:rsidRDefault="004425A3" w:rsidP="008E02CF">
      <w:pPr>
        <w:pStyle w:val="NormalWeb"/>
        <w:shd w:val="clear" w:color="auto" w:fill="FFFFFF"/>
        <w:spacing w:before="0" w:beforeAutospacing="0" w:after="0" w:afterAutospacing="0"/>
        <w:ind w:left="708"/>
        <w:jc w:val="both"/>
        <w:rPr>
          <w:color w:val="555555"/>
        </w:rPr>
      </w:pPr>
      <w:r w:rsidRPr="008E02CF">
        <w:rPr>
          <w:color w:val="555555"/>
        </w:rPr>
        <w:t>Le chiffre d'affaires annuel total résultant de l'activité de streaming TV s'élève à 29,5 millions d'euros, dont 14,4 millions d'euros donnent lieu à facturation récurrente (ARR : revenu annuel récurrent). Les autres revenus de cette activité s'élèvent à 15,1 millions d'euros et incluent en particulier de la vente d'équipements d'accès, des frais d'activation de service et des prestations non récurrentes.</w:t>
      </w:r>
    </w:p>
    <w:p w14:paraId="0AE27F2A" w14:textId="77777777" w:rsidR="004425A3" w:rsidRPr="008E02CF" w:rsidRDefault="004425A3" w:rsidP="008E02CF">
      <w:pPr>
        <w:pStyle w:val="NormalWeb"/>
        <w:shd w:val="clear" w:color="auto" w:fill="FFFFFF"/>
        <w:spacing w:before="0" w:beforeAutospacing="0" w:after="0" w:afterAutospacing="0"/>
        <w:ind w:left="708"/>
        <w:jc w:val="both"/>
        <w:rPr>
          <w:color w:val="555555"/>
        </w:rPr>
      </w:pPr>
      <w:r w:rsidRPr="008E02CF">
        <w:rPr>
          <w:color w:val="555555"/>
        </w:rPr>
        <w:t>Cette année, Netgem anticipe une croissance de plus de 20% de son parc d'abonnés en 2023, entraînant une croissance similaire de l'ARR. Les revenus générés par le parc suffiront à financer cette croissance. Les free cash-flow seront ainsi positifs en 2023.</w:t>
      </w:r>
    </w:p>
    <w:p w14:paraId="2E352EB3" w14:textId="77777777" w:rsidR="004425A3" w:rsidRPr="008E02CF" w:rsidRDefault="004425A3" w:rsidP="008E02CF">
      <w:pPr>
        <w:pStyle w:val="NormalWeb"/>
        <w:shd w:val="clear" w:color="auto" w:fill="FFFFFF"/>
        <w:spacing w:before="0" w:beforeAutospacing="0" w:after="0" w:afterAutospacing="0"/>
        <w:ind w:left="708"/>
        <w:jc w:val="both"/>
        <w:rPr>
          <w:color w:val="555555"/>
        </w:rPr>
      </w:pPr>
      <w:r w:rsidRPr="008E02CF">
        <w:rPr>
          <w:color w:val="555555"/>
        </w:rPr>
        <w:t>L'évolution rapide du marché vers des set-top box standardisées sur base androidTV devrait également permettre à la société de se désengager totalement de la vente d'équipements d'accès, et des besoins en fonds de roulement associés.</w:t>
      </w:r>
    </w:p>
    <w:p w14:paraId="494D4498" w14:textId="77777777" w:rsidR="004425A3" w:rsidRPr="008E02CF" w:rsidRDefault="004425A3" w:rsidP="008E02CF">
      <w:pPr>
        <w:pStyle w:val="NormalWeb"/>
        <w:shd w:val="clear" w:color="auto" w:fill="FFFFFF"/>
        <w:spacing w:before="0" w:beforeAutospacing="0" w:after="0" w:afterAutospacing="0"/>
        <w:ind w:left="708"/>
        <w:jc w:val="both"/>
        <w:rPr>
          <w:color w:val="555555"/>
        </w:rPr>
      </w:pPr>
      <w:r w:rsidRPr="008E02CF">
        <w:rPr>
          <w:color w:val="555555"/>
        </w:rPr>
        <w:t>Dans ce contexte favorable à l'activité netgem.tv, Netgem a décidé d'engager la cession de ses activités autres que le streaming TV, lesquelles sont situées au sein de sa filiale française Vitis. Ces cessions devraient avoir lieu au cours du 1er semestre 2023.</w:t>
      </w:r>
    </w:p>
    <w:p w14:paraId="3D3F74F1" w14:textId="77777777" w:rsidR="003F31C4" w:rsidRPr="008E02CF" w:rsidRDefault="003F31C4" w:rsidP="008E02CF">
      <w:pPr>
        <w:pStyle w:val="NormalWeb"/>
        <w:shd w:val="clear" w:color="auto" w:fill="FFFFFF"/>
        <w:spacing w:before="0" w:beforeAutospacing="0" w:after="0" w:afterAutospacing="0"/>
        <w:ind w:left="708"/>
        <w:jc w:val="both"/>
        <w:rPr>
          <w:color w:val="555555"/>
        </w:rPr>
      </w:pPr>
    </w:p>
    <w:p w14:paraId="088EEB61" w14:textId="77777777" w:rsidR="00EA540D" w:rsidRPr="008E02CF" w:rsidRDefault="00EA540D" w:rsidP="008E02CF">
      <w:pPr>
        <w:pStyle w:val="NormalWeb"/>
        <w:numPr>
          <w:ilvl w:val="0"/>
          <w:numId w:val="5"/>
        </w:numPr>
        <w:shd w:val="clear" w:color="auto" w:fill="FFFFFF"/>
        <w:spacing w:before="0" w:beforeAutospacing="0" w:after="0" w:afterAutospacing="0"/>
        <w:jc w:val="both"/>
        <w:rPr>
          <w:color w:val="555555"/>
        </w:rPr>
      </w:pPr>
      <w:r w:rsidRPr="008E02CF">
        <w:rPr>
          <w:color w:val="555555"/>
        </w:rPr>
        <w:t>Le chiffre d'affaires du premier semestre de l'exercice 2022-2023 du Groupe Bonduelle (du 1er juillet au 31 décembre 2022) s'établit à 1,24 milliards d'euros contre 1,09 milliards d'euros du premier semestre de l'exercice précédent, soit une progression de 13,6 % à taux de change courants et 6,1 % en données comparables. Les évolutions favorables des devises renforcent la croissance de l'activité de 7,5 %. Sa croissance du chiffre d'affaires du second trimestre s'est accélérée comparée au premier trimestre : +16% à taux de change courants et + 7,6% en données comparables. A la clôture, l'action progresse de 4,38% à 1,88 euros.</w:t>
      </w:r>
    </w:p>
    <w:p w14:paraId="6DE899EA" w14:textId="77777777" w:rsidR="00EA540D" w:rsidRPr="008E02CF" w:rsidRDefault="00EA540D" w:rsidP="008E02CF">
      <w:pPr>
        <w:pStyle w:val="NormalWeb"/>
        <w:shd w:val="clear" w:color="auto" w:fill="FFFFFF"/>
        <w:spacing w:before="0" w:beforeAutospacing="0" w:after="0" w:afterAutospacing="0"/>
        <w:ind w:left="708"/>
        <w:jc w:val="both"/>
        <w:rPr>
          <w:color w:val="555555"/>
        </w:rPr>
      </w:pPr>
      <w:r w:rsidRPr="008E02CF">
        <w:rPr>
          <w:color w:val="555555"/>
        </w:rPr>
        <w:lastRenderedPageBreak/>
        <w:t>Son activité en Europe, qui représente 59,4 % de l'activité sur la période, affiche sur l'ensemble de ce premier semestre une évolution globale de +11,4 % à taux de change courants et +12,3 % en données comparables.</w:t>
      </w:r>
    </w:p>
    <w:p w14:paraId="0F659042" w14:textId="77777777" w:rsidR="00EA540D" w:rsidRPr="008E02CF" w:rsidRDefault="00EA540D" w:rsidP="008E02CF">
      <w:pPr>
        <w:pStyle w:val="NormalWeb"/>
        <w:shd w:val="clear" w:color="auto" w:fill="FFFFFF"/>
        <w:spacing w:before="0" w:beforeAutospacing="0" w:after="0" w:afterAutospacing="0"/>
        <w:ind w:left="708"/>
        <w:jc w:val="both"/>
        <w:rPr>
          <w:color w:val="555555"/>
        </w:rPr>
      </w:pPr>
      <w:r w:rsidRPr="008E02CF">
        <w:rPr>
          <w:color w:val="555555"/>
        </w:rPr>
        <w:t>Le spécialiste dans la transformation industrielle des légumes annonce que dans le but d'améliorer sa compétitivité sur le marché des produits frais prêts à l'emploi aux Etats-Unis, il adaptera son dispositif industriel de son activité sur la côte Est des Etats-Unis avec une fusion des activités de fabrication de Florence et de Swedesboro (New Jersey) dans les prochains mois.</w:t>
      </w:r>
    </w:p>
    <w:p w14:paraId="465BFD55" w14:textId="77777777" w:rsidR="00EA540D" w:rsidRPr="008E02CF" w:rsidRDefault="00EA540D" w:rsidP="008E02CF">
      <w:pPr>
        <w:pStyle w:val="NormalWeb"/>
        <w:shd w:val="clear" w:color="auto" w:fill="FFFFFF"/>
        <w:spacing w:before="0" w:beforeAutospacing="0" w:after="0" w:afterAutospacing="0"/>
        <w:ind w:left="708"/>
        <w:jc w:val="both"/>
        <w:rPr>
          <w:color w:val="555555"/>
        </w:rPr>
      </w:pPr>
      <w:r w:rsidRPr="008E02CF">
        <w:rPr>
          <w:color w:val="555555"/>
        </w:rPr>
        <w:t>En outre, l'atteinte des objectifs de croissance de l'activité et de rentabilité pour l'exercice 2022-2023 restera dépendante à la fois des dynamiques de consommation, difficilement prédictibles, et aussi des revalorisations tarifaires, à nouveau indispensables pour compenser les évolutions de certaines composantes du coût de revient, en particulier les matières agricoles.</w:t>
      </w:r>
    </w:p>
    <w:p w14:paraId="1CC68717" w14:textId="77777777" w:rsidR="00CF4FE7" w:rsidRPr="008E02CF" w:rsidRDefault="00CF4FE7" w:rsidP="008E02CF">
      <w:pPr>
        <w:jc w:val="both"/>
        <w:rPr>
          <w:rFonts w:ascii="Times New Roman" w:hAnsi="Times New Roman" w:cs="Times New Roman"/>
          <w:b/>
          <w:bCs/>
          <w:sz w:val="24"/>
          <w:szCs w:val="24"/>
        </w:rPr>
      </w:pPr>
    </w:p>
    <w:p w14:paraId="5B8C43B5" w14:textId="7227064F" w:rsidR="00F8459E" w:rsidRPr="008E02CF" w:rsidRDefault="00F8459E" w:rsidP="008E02CF">
      <w:pPr>
        <w:pStyle w:val="Paragraphedeliste"/>
        <w:numPr>
          <w:ilvl w:val="0"/>
          <w:numId w:val="5"/>
        </w:numPr>
        <w:jc w:val="both"/>
        <w:rPr>
          <w:rFonts w:ascii="Times New Roman" w:hAnsi="Times New Roman" w:cs="Times New Roman"/>
          <w:color w:val="555555"/>
          <w:sz w:val="24"/>
          <w:szCs w:val="24"/>
          <w:shd w:val="clear" w:color="auto" w:fill="FFFFFF"/>
        </w:rPr>
      </w:pPr>
      <w:r w:rsidRPr="008E02CF">
        <w:rPr>
          <w:rFonts w:ascii="Times New Roman" w:hAnsi="Times New Roman" w:cs="Times New Roman"/>
          <w:color w:val="555555"/>
          <w:sz w:val="24"/>
          <w:szCs w:val="24"/>
          <w:shd w:val="clear" w:color="auto" w:fill="FFFFFF"/>
        </w:rPr>
        <w:t>Electronic Arts est attendu en forte baisse à Wall Street en raison de perspectives décevantes du fait du décalage de la sortie de Star Wars Jedi Survivor au prochain exercice. Au troisième trimestre, clos fin décembre, le concurrent d’Ubisoft a généré un bénéfice net de 204 millions de dollars, soit 73 cents par action, contre un profit de 66 millions de dollars</w:t>
      </w:r>
      <w:r w:rsidRPr="008E02CF">
        <w:rPr>
          <w:rFonts w:ascii="Times New Roman" w:hAnsi="Times New Roman" w:cs="Times New Roman"/>
          <w:color w:val="555555"/>
          <w:sz w:val="24"/>
          <w:szCs w:val="24"/>
          <w:shd w:val="clear" w:color="auto" w:fill="FFFFFF"/>
        </w:rPr>
        <w:t>.</w:t>
      </w:r>
    </w:p>
    <w:p w14:paraId="2AE78BCB" w14:textId="77777777" w:rsidR="003F31C4" w:rsidRPr="008E02CF" w:rsidRDefault="003F31C4" w:rsidP="008E02CF">
      <w:pPr>
        <w:pStyle w:val="NormalWeb"/>
        <w:numPr>
          <w:ilvl w:val="0"/>
          <w:numId w:val="5"/>
        </w:numPr>
        <w:shd w:val="clear" w:color="auto" w:fill="FFFFFF"/>
        <w:spacing w:before="0" w:beforeAutospacing="0" w:after="0" w:afterAutospacing="0"/>
        <w:jc w:val="both"/>
        <w:rPr>
          <w:color w:val="555555"/>
        </w:rPr>
      </w:pPr>
      <w:r w:rsidRPr="008E02CF">
        <w:rPr>
          <w:color w:val="555555"/>
        </w:rPr>
        <w:t>Transgene présente aujourd’hui des résultats positifs pour un vaccin personnalisé contre le cancer qui fait l’objet de deux essais cliniques de phase I menés à Toulouse (IUCT-Oncopole) depuis 2020. L’un concerne certains cancers Tête et cou et l’autre, les cancers de l’ovaire. A la clôture, l'action progresse de 7% à 2,11 euros.</w:t>
      </w:r>
    </w:p>
    <w:p w14:paraId="0FEAB155" w14:textId="77777777" w:rsidR="003F31C4" w:rsidRPr="008E02CF" w:rsidRDefault="003F31C4" w:rsidP="008E02CF">
      <w:pPr>
        <w:pStyle w:val="NormalWeb"/>
        <w:shd w:val="clear" w:color="auto" w:fill="FFFFFF"/>
        <w:spacing w:before="0" w:beforeAutospacing="0" w:after="0" w:afterAutospacing="0"/>
        <w:ind w:left="708"/>
        <w:jc w:val="both"/>
        <w:rPr>
          <w:color w:val="555555"/>
        </w:rPr>
      </w:pPr>
      <w:r w:rsidRPr="008E02CF">
        <w:rPr>
          <w:color w:val="555555"/>
        </w:rPr>
        <w:t>Cette approche s’appuie sur les mutations génétiques propres à la tumeur du patient pour éduquer spécifiquement ses défenses immunitaires. Il fait appel à l’intelligence artificielle pour pouvoir mettre à disposition un vaccin individualisé dans les délais médicaux impartis.</w:t>
      </w:r>
    </w:p>
    <w:p w14:paraId="39A1C167" w14:textId="77777777" w:rsidR="003F31C4" w:rsidRPr="008E02CF" w:rsidRDefault="003F31C4" w:rsidP="008E02CF">
      <w:pPr>
        <w:pStyle w:val="NormalWeb"/>
        <w:shd w:val="clear" w:color="auto" w:fill="FFFFFF"/>
        <w:spacing w:before="0" w:beforeAutospacing="0" w:after="0" w:afterAutospacing="0"/>
        <w:ind w:left="708"/>
        <w:jc w:val="both"/>
        <w:rPr>
          <w:color w:val="555555"/>
        </w:rPr>
      </w:pPr>
      <w:r w:rsidRPr="008E02CF">
        <w:rPr>
          <w:color w:val="555555"/>
        </w:rPr>
        <w:t>Plus de 15 patients, sur un objectif de 30 environ visés pour ces essais, ont déjà reçu le vaccin avec des résultats encourageants. Tous les patients qui ont reçu le vaccin ont présenté une réponse immunitaire, et chez ceux atteints d'un cancer de la tête et du cou et ayant reçu TG4050, aucun n'a subi de rechute. 2 patients ont en revanche déjà rechuté dans le bras de contrôle suivi dans le cadre de cet essai randomisé et ont pu bénéficier du vaccin depuis le diagnostic de récidive.</w:t>
      </w:r>
    </w:p>
    <w:p w14:paraId="1D8BFD95" w14:textId="77777777" w:rsidR="003F31C4" w:rsidRPr="008E02CF" w:rsidRDefault="003F31C4" w:rsidP="008E02CF">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512F8ABF" w14:textId="77777777" w:rsidR="00B77BF7" w:rsidRPr="007F5707" w:rsidRDefault="00B77BF7" w:rsidP="007F5707">
      <w:pPr>
        <w:pStyle w:val="Paragraphedeliste"/>
        <w:numPr>
          <w:ilvl w:val="0"/>
          <w:numId w:val="10"/>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7F5707">
        <w:rPr>
          <w:rFonts w:ascii="Times New Roman" w:eastAsia="Times New Roman" w:hAnsi="Times New Roman" w:cs="Times New Roman"/>
          <w:color w:val="212121"/>
          <w:sz w:val="24"/>
          <w:szCs w:val="24"/>
          <w:lang w:eastAsia="fr-FR"/>
        </w:rPr>
        <w:t>Le chiffre sera certainement ajusté plus tard. L'agence Eurostat a tout de même publié une première estimation de l'évolution des prix à la consommation dans la zone euro pour le mois de janvier, malgré l'absence de chiffres de l'Allemagne.</w:t>
      </w:r>
    </w:p>
    <w:p w14:paraId="27EAAFE8"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En raison d'un problème technique de traitements des données, l'agence allemande Destatis a dû repousser à la semaine prochaine la publication de sa première estimation de l'inflation outre-Rhin.</w:t>
      </w:r>
    </w:p>
    <w:p w14:paraId="716B2E0C"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Eurostat constate néanmoins la poursuite du recul de la hausse des prix à la consommation, pour la troisième fois consécutive, dans la zone euro. Le mois dernier, le taux d'inflation est estimé à 8,5 % après 9,2 % en décembre.</w:t>
      </w:r>
    </w:p>
    <w:p w14:paraId="34FC70C4"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 xml:space="preserve">Dans le détail, les prix alimentaires sont encore sous pression. Le taux d'inflation de l'alimentation, alcools et tabac, devrait ressortir à 14,1 %, après 13,8 % en décembre </w:t>
      </w:r>
      <w:r w:rsidRPr="00B77BF7">
        <w:rPr>
          <w:rFonts w:ascii="Times New Roman" w:eastAsia="Times New Roman" w:hAnsi="Times New Roman" w:cs="Times New Roman"/>
          <w:color w:val="212121"/>
          <w:sz w:val="24"/>
          <w:szCs w:val="24"/>
          <w:lang w:eastAsia="fr-FR"/>
        </w:rPr>
        <w:lastRenderedPageBreak/>
        <w:t>dernier. Même constat pour les biens industriels hors énergie dont les prix auraient grimpé de 6,9 % contre 6,4 % le mois d'avant.</w:t>
      </w:r>
    </w:p>
    <w:p w14:paraId="537ECDC4"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Compte tenu de la baisse des cours des matières premières énergétiques sur les marchés, la pression semble se relâcher puisque le taux d'inflation de l'énergie ressort à 17,2 %, comparé à 25,5 % en décembre. Les prix des services, eux, s'affichent en hausse de 4,2 % contre 4,4 % en décembre. Le taux d'inflation hors énergie et produits alimentaires non transformés, le plus surveillé par la Banque centrale européenne (BCE), a lui atteint 7 % sur un an après 6,9 % en décembre.</w:t>
      </w:r>
    </w:p>
    <w:p w14:paraId="1CE1C35E" w14:textId="5384754D"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Ce sont les pays Baltes (Estonie, Lituanie, Lettonie) qui enregistrent encore les niveaux élevés d'inflation, respectivement 18,8 %, 18,4 % et 21,6 %. </w:t>
      </w:r>
      <w:r w:rsidRPr="007F5707">
        <w:rPr>
          <w:rFonts w:ascii="Times New Roman" w:eastAsia="Times New Roman" w:hAnsi="Times New Roman" w:cs="Times New Roman"/>
          <w:color w:val="212121"/>
          <w:sz w:val="24"/>
          <w:szCs w:val="24"/>
          <w:lang w:eastAsia="fr-FR"/>
        </w:rPr>
        <w:t>L’inflation en France</w:t>
      </w:r>
      <w:r w:rsidRPr="00B77BF7">
        <w:rPr>
          <w:rFonts w:ascii="Times New Roman" w:eastAsia="Times New Roman" w:hAnsi="Times New Roman" w:cs="Times New Roman"/>
          <w:color w:val="212121"/>
          <w:sz w:val="24"/>
          <w:szCs w:val="24"/>
          <w:lang w:eastAsia="fr-FR"/>
        </w:rPr>
        <w:t> est évaluée à 7 % contre 6,7 % en décembre. C'est l'Espagne et le Luxembourg (5,8 % tous les deux) qui enregistreraient les taux les moins élevés.</w:t>
      </w:r>
    </w:p>
    <w:p w14:paraId="45C68219"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Dans ce contexte, la réunion du comité de politique monétaire de la BCE, jeudi, devrait donner lieu à un nouveau resserrement. L'inflation sous-jacente n'a pas encore montré de signes convaincants de ralentissement. Les prix continuent d'augmenter légèrement en raison des effets décalés du choc énergétique, des problèmes de chaîne d'approvisionnement et d'une demande intérieure toujours robuste, indique dans une note publiée mercredi Mabrouk Chetouane, stratège chez Natixis Investment managers. Ce dernier s'attend à ce que le principal taux de refinancement de la BCE atteigne 3,75 % en mai contre 2,5 % actuellement.</w:t>
      </w:r>
    </w:p>
    <w:p w14:paraId="116EA2FD"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 La baisse de l'inflation globale ne fera pas grand-chose pour endiguer la politique restrictive de la banque centrale, du moins à court terme. La BCE va relever ses taux d'intérêt de 50 points de base ce mois-ci et le prochain, avec un risque d'une nouvelle hausse de 25 points de base en mai si les pressions inflationnistes ne se modèrent pas », avance de son côté, Mateusz Urban, économiste chez Oxford Economics.</w:t>
      </w:r>
    </w:p>
    <w:p w14:paraId="5C6F6D58" w14:textId="77777777" w:rsidR="00B77BF7" w:rsidRPr="00B77BF7" w:rsidRDefault="00B77BF7" w:rsidP="007F570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B77BF7">
        <w:rPr>
          <w:rFonts w:ascii="Times New Roman" w:eastAsia="Times New Roman" w:hAnsi="Times New Roman" w:cs="Times New Roman"/>
          <w:color w:val="212121"/>
          <w:sz w:val="24"/>
          <w:szCs w:val="24"/>
          <w:lang w:eastAsia="fr-FR"/>
        </w:rPr>
        <w:t>Entre résilience de l'économie et persistance de l'inflation sous-jacente, la présidente de la BCE, Christine Lagarde « n'a pas d'autre choix que de réaffirmer », jeudi, « son engagement du mois de décembre à opérer une hausse de taux de 0,5 point de pourcentage, qui devrait se poursuivre au mois de mars », a estimé auprès de l'AFP Frederik Ducrozet, chef économiste chez Pictet.</w:t>
      </w:r>
    </w:p>
    <w:p w14:paraId="5FEF6317" w14:textId="77777777" w:rsidR="00B77BF7" w:rsidRDefault="00B77BF7" w:rsidP="00390B38">
      <w:pPr>
        <w:rPr>
          <w:rFonts w:ascii="Times New Roman" w:hAnsi="Times New Roman" w:cs="Times New Roman"/>
          <w:b/>
          <w:bCs/>
          <w:sz w:val="28"/>
          <w:szCs w:val="28"/>
        </w:rPr>
      </w:pPr>
    </w:p>
    <w:p w14:paraId="7B8B143C" w14:textId="6DD03C62"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 xml:space="preserve">2 </w:t>
      </w:r>
      <w:r w:rsidR="008E0B3C">
        <w:rPr>
          <w:rFonts w:ascii="Times New Roman" w:hAnsi="Times New Roman" w:cs="Times New Roman"/>
          <w:b/>
          <w:bCs/>
          <w:sz w:val="28"/>
          <w:szCs w:val="28"/>
        </w:rPr>
        <w:t>févrie</w:t>
      </w:r>
      <w:r w:rsidR="009C60F3">
        <w:rPr>
          <w:rFonts w:ascii="Times New Roman" w:hAnsi="Times New Roman" w:cs="Times New Roman"/>
          <w:b/>
          <w:bCs/>
          <w:sz w:val="28"/>
          <w:szCs w:val="28"/>
        </w:rPr>
        <w:t>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00F4FB2" w14:textId="77777777" w:rsidR="00E21229" w:rsidRDefault="00E21229" w:rsidP="00E21229">
      <w:pPr>
        <w:pStyle w:val="NormalWeb"/>
        <w:ind w:left="708"/>
      </w:pPr>
      <w:r>
        <w:rPr>
          <w:rStyle w:val="lev"/>
        </w:rPr>
        <w:t>9h50 en France</w:t>
      </w:r>
      <w:r>
        <w:br/>
        <w:t>Indice des directeurs d'achat pour le secteur manufacturier en janvier</w:t>
      </w:r>
      <w:r>
        <w:br/>
      </w:r>
      <w:r>
        <w:br/>
      </w:r>
      <w:r>
        <w:rPr>
          <w:rStyle w:val="lev"/>
        </w:rPr>
        <w:t>9h55 en Allemagne</w:t>
      </w:r>
      <w:r>
        <w:br/>
        <w:t>Indice des directeurs d'achat pour le secteur manufacturier en janvier</w:t>
      </w:r>
      <w:r>
        <w:br/>
      </w:r>
      <w:r>
        <w:br/>
      </w:r>
      <w:r>
        <w:rPr>
          <w:rStyle w:val="lev"/>
        </w:rPr>
        <w:t>10h00 en zone euro</w:t>
      </w:r>
      <w:r>
        <w:br/>
        <w:t>Indice des directeurs d'achat pour le secteur manufacturier en janvier</w:t>
      </w:r>
      <w:r>
        <w:br/>
      </w:r>
      <w:r>
        <w:br/>
      </w:r>
      <w:r>
        <w:rPr>
          <w:rStyle w:val="lev"/>
        </w:rPr>
        <w:t>11h00 en zone euro</w:t>
      </w:r>
      <w:r>
        <w:br/>
        <w:t>Inflation en janvier</w:t>
      </w:r>
      <w:r>
        <w:br/>
        <w:t>Taux de chômage en décembre</w:t>
      </w:r>
      <w:r>
        <w:br/>
      </w:r>
      <w:r>
        <w:br/>
      </w:r>
      <w:r>
        <w:rPr>
          <w:rStyle w:val="lev"/>
        </w:rPr>
        <w:t>14h15 aux Etats-Unis</w:t>
      </w:r>
      <w:r>
        <w:br/>
        <w:t>Enquête ADP sur l'emploi privé en janvier</w:t>
      </w:r>
      <w:r>
        <w:br/>
      </w:r>
      <w:r>
        <w:br/>
      </w:r>
      <w:r>
        <w:rPr>
          <w:rStyle w:val="lev"/>
        </w:rPr>
        <w:lastRenderedPageBreak/>
        <w:t>15h45 aux Etats-Unis</w:t>
      </w:r>
      <w:r>
        <w:br/>
        <w:t>Indice des directeurs d'achat pour le secteur manufacturier en janvier</w:t>
      </w:r>
      <w:r>
        <w:br/>
      </w:r>
      <w:r>
        <w:br/>
      </w:r>
      <w:r>
        <w:rPr>
          <w:rStyle w:val="lev"/>
        </w:rPr>
        <w:t>16h00 aux Etats-Unis</w:t>
      </w:r>
      <w:r>
        <w:br/>
        <w:t>Dépenses de construction en décembre</w:t>
      </w:r>
      <w:r>
        <w:br/>
        <w:t>Rapport Jolts sur les nouvelles offres d'emploi en décembre</w:t>
      </w:r>
      <w:r>
        <w:br/>
        <w:t>Indice des directeurs d'achat (ISM) pour le secteur manufacturier en janvier</w:t>
      </w:r>
      <w:r>
        <w:br/>
      </w:r>
      <w:r>
        <w:br/>
      </w:r>
      <w:r>
        <w:rPr>
          <w:rStyle w:val="lev"/>
        </w:rPr>
        <w:t>16h30 aux Etats-Unis</w:t>
      </w:r>
      <w:r>
        <w:br/>
        <w:t>Evolution hebdomadaire des stocks de produits pétroliers</w:t>
      </w:r>
      <w:r>
        <w:br/>
      </w:r>
      <w:r>
        <w:br/>
      </w:r>
      <w:r>
        <w:rPr>
          <w:rStyle w:val="lev"/>
        </w:rPr>
        <w:t>20h00 aux Etats-Unis</w:t>
      </w:r>
      <w:r>
        <w:br/>
        <w:t>Décision de politique monétaire de la Fed</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B4A"/>
    <w:multiLevelType w:val="hybridMultilevel"/>
    <w:tmpl w:val="1974EC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10E9F"/>
    <w:multiLevelType w:val="hybridMultilevel"/>
    <w:tmpl w:val="4E267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13797"/>
    <w:multiLevelType w:val="hybridMultilevel"/>
    <w:tmpl w:val="D82A4C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42200DD"/>
    <w:multiLevelType w:val="hybridMultilevel"/>
    <w:tmpl w:val="9CA29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700245"/>
    <w:multiLevelType w:val="hybridMultilevel"/>
    <w:tmpl w:val="A462AE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934BC8"/>
    <w:multiLevelType w:val="hybridMultilevel"/>
    <w:tmpl w:val="E9643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4"/>
  </w:num>
  <w:num w:numId="3" w16cid:durableId="1866677634">
    <w:abstractNumId w:val="7"/>
  </w:num>
  <w:num w:numId="4" w16cid:durableId="376704026">
    <w:abstractNumId w:val="8"/>
  </w:num>
  <w:num w:numId="5" w16cid:durableId="1208223155">
    <w:abstractNumId w:val="5"/>
  </w:num>
  <w:num w:numId="6" w16cid:durableId="590049611">
    <w:abstractNumId w:val="2"/>
  </w:num>
  <w:num w:numId="7" w16cid:durableId="119301740">
    <w:abstractNumId w:val="0"/>
  </w:num>
  <w:num w:numId="8" w16cid:durableId="1192374360">
    <w:abstractNumId w:val="6"/>
  </w:num>
  <w:num w:numId="9" w16cid:durableId="1421756161">
    <w:abstractNumId w:val="3"/>
  </w:num>
  <w:num w:numId="10" w16cid:durableId="1515534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4CDF"/>
    <w:rsid w:val="00012942"/>
    <w:rsid w:val="000843E4"/>
    <w:rsid w:val="000A5CEB"/>
    <w:rsid w:val="000E0B5F"/>
    <w:rsid w:val="0012746E"/>
    <w:rsid w:val="00163758"/>
    <w:rsid w:val="0024133A"/>
    <w:rsid w:val="0025586D"/>
    <w:rsid w:val="002709F8"/>
    <w:rsid w:val="002C51B2"/>
    <w:rsid w:val="002D2AAE"/>
    <w:rsid w:val="002F4C5A"/>
    <w:rsid w:val="00336445"/>
    <w:rsid w:val="0034260D"/>
    <w:rsid w:val="00367EDC"/>
    <w:rsid w:val="0038116C"/>
    <w:rsid w:val="00390B38"/>
    <w:rsid w:val="003A5536"/>
    <w:rsid w:val="003B01B8"/>
    <w:rsid w:val="003B2CDE"/>
    <w:rsid w:val="003B3201"/>
    <w:rsid w:val="003F31C4"/>
    <w:rsid w:val="00410146"/>
    <w:rsid w:val="00415AF1"/>
    <w:rsid w:val="00426AE3"/>
    <w:rsid w:val="00433D9C"/>
    <w:rsid w:val="004425A3"/>
    <w:rsid w:val="004461AE"/>
    <w:rsid w:val="00473B7E"/>
    <w:rsid w:val="004A5D58"/>
    <w:rsid w:val="004D0447"/>
    <w:rsid w:val="005E7D38"/>
    <w:rsid w:val="00605D86"/>
    <w:rsid w:val="00686A7E"/>
    <w:rsid w:val="006B1046"/>
    <w:rsid w:val="006C11CB"/>
    <w:rsid w:val="007C71B7"/>
    <w:rsid w:val="007F5707"/>
    <w:rsid w:val="00892420"/>
    <w:rsid w:val="008A2D3D"/>
    <w:rsid w:val="008E02CF"/>
    <w:rsid w:val="008E0B3C"/>
    <w:rsid w:val="00920E56"/>
    <w:rsid w:val="00931514"/>
    <w:rsid w:val="0097386B"/>
    <w:rsid w:val="00995C2A"/>
    <w:rsid w:val="009B4AD0"/>
    <w:rsid w:val="009C60F3"/>
    <w:rsid w:val="009D09DF"/>
    <w:rsid w:val="00A50FFC"/>
    <w:rsid w:val="00A7423B"/>
    <w:rsid w:val="00A8646C"/>
    <w:rsid w:val="00AB300D"/>
    <w:rsid w:val="00AE24D8"/>
    <w:rsid w:val="00AF75B8"/>
    <w:rsid w:val="00B2369A"/>
    <w:rsid w:val="00B47AC3"/>
    <w:rsid w:val="00B77BF7"/>
    <w:rsid w:val="00BF1707"/>
    <w:rsid w:val="00CA3DE4"/>
    <w:rsid w:val="00CF4FE7"/>
    <w:rsid w:val="00DC4499"/>
    <w:rsid w:val="00DD1FCE"/>
    <w:rsid w:val="00DD5DAA"/>
    <w:rsid w:val="00E053E2"/>
    <w:rsid w:val="00E21229"/>
    <w:rsid w:val="00EA540D"/>
    <w:rsid w:val="00F76296"/>
    <w:rsid w:val="00F8459E"/>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41060916">
      <w:bodyDiv w:val="1"/>
      <w:marLeft w:val="0"/>
      <w:marRight w:val="0"/>
      <w:marTop w:val="0"/>
      <w:marBottom w:val="0"/>
      <w:divBdr>
        <w:top w:val="none" w:sz="0" w:space="0" w:color="auto"/>
        <w:left w:val="none" w:sz="0" w:space="0" w:color="auto"/>
        <w:bottom w:val="none" w:sz="0" w:space="0" w:color="auto"/>
        <w:right w:val="none" w:sz="0" w:space="0" w:color="auto"/>
      </w:divBdr>
      <w:divsChild>
        <w:div w:id="1504592430">
          <w:marLeft w:val="0"/>
          <w:marRight w:val="0"/>
          <w:marTop w:val="0"/>
          <w:marBottom w:val="0"/>
          <w:divBdr>
            <w:top w:val="none" w:sz="0" w:space="0" w:color="auto"/>
            <w:left w:val="none" w:sz="0" w:space="0" w:color="auto"/>
            <w:bottom w:val="none" w:sz="0" w:space="0" w:color="auto"/>
            <w:right w:val="none" w:sz="0" w:space="0" w:color="auto"/>
          </w:divBdr>
        </w:div>
        <w:div w:id="2110925394">
          <w:marLeft w:val="0"/>
          <w:marRight w:val="0"/>
          <w:marTop w:val="600"/>
          <w:marBottom w:val="0"/>
          <w:divBdr>
            <w:top w:val="none" w:sz="0" w:space="0" w:color="auto"/>
            <w:left w:val="none" w:sz="0" w:space="0" w:color="auto"/>
            <w:bottom w:val="none" w:sz="0" w:space="0" w:color="auto"/>
            <w:right w:val="none" w:sz="0" w:space="0" w:color="auto"/>
          </w:divBdr>
        </w:div>
        <w:div w:id="481118020">
          <w:marLeft w:val="0"/>
          <w:marRight w:val="0"/>
          <w:marTop w:val="600"/>
          <w:marBottom w:val="0"/>
          <w:divBdr>
            <w:top w:val="none" w:sz="0" w:space="0" w:color="auto"/>
            <w:left w:val="none" w:sz="0" w:space="0" w:color="auto"/>
            <w:bottom w:val="none" w:sz="0" w:space="0" w:color="auto"/>
            <w:right w:val="none" w:sz="0" w:space="0" w:color="auto"/>
          </w:divBdr>
        </w:div>
      </w:divsChild>
    </w:div>
    <w:div w:id="281154470">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379349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1573503">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51697301">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28249685">
      <w:bodyDiv w:val="1"/>
      <w:marLeft w:val="0"/>
      <w:marRight w:val="0"/>
      <w:marTop w:val="0"/>
      <w:marBottom w:val="0"/>
      <w:divBdr>
        <w:top w:val="none" w:sz="0" w:space="0" w:color="auto"/>
        <w:left w:val="none" w:sz="0" w:space="0" w:color="auto"/>
        <w:bottom w:val="none" w:sz="0" w:space="0" w:color="auto"/>
        <w:right w:val="none" w:sz="0" w:space="0" w:color="auto"/>
      </w:divBdr>
    </w:div>
    <w:div w:id="157281265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31230873">
      <w:bodyDiv w:val="1"/>
      <w:marLeft w:val="0"/>
      <w:marRight w:val="0"/>
      <w:marTop w:val="0"/>
      <w:marBottom w:val="0"/>
      <w:divBdr>
        <w:top w:val="none" w:sz="0" w:space="0" w:color="auto"/>
        <w:left w:val="none" w:sz="0" w:space="0" w:color="auto"/>
        <w:bottom w:val="none" w:sz="0" w:space="0" w:color="auto"/>
        <w:right w:val="none" w:sz="0" w:space="0" w:color="auto"/>
      </w:divBdr>
    </w:div>
    <w:div w:id="1732998727">
      <w:bodyDiv w:val="1"/>
      <w:marLeft w:val="0"/>
      <w:marRight w:val="0"/>
      <w:marTop w:val="0"/>
      <w:marBottom w:val="0"/>
      <w:divBdr>
        <w:top w:val="none" w:sz="0" w:space="0" w:color="auto"/>
        <w:left w:val="none" w:sz="0" w:space="0" w:color="auto"/>
        <w:bottom w:val="none" w:sz="0" w:space="0" w:color="auto"/>
        <w:right w:val="none" w:sz="0" w:space="0" w:color="auto"/>
      </w:divBdr>
    </w:div>
    <w:div w:id="199675824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2568</Words>
  <Characters>14125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24</cp:revision>
  <dcterms:created xsi:type="dcterms:W3CDTF">2023-02-01T17:30:00Z</dcterms:created>
  <dcterms:modified xsi:type="dcterms:W3CDTF">2023-02-01T18:01:00Z</dcterms:modified>
</cp:coreProperties>
</file>